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1480F" w14:textId="2316ECF8" w:rsidR="00545745" w:rsidRDefault="00545745" w:rsidP="00545745">
      <w:pPr>
        <w:rPr>
          <w:rFonts w:cs="Times New Roman"/>
          <w:b/>
          <w:bCs/>
          <w:i/>
          <w:color w:val="808080" w:themeColor="background1" w:themeShade="80"/>
        </w:rPr>
      </w:pPr>
      <w:bookmarkStart w:id="0" w:name="_GoBack"/>
      <w:bookmarkEnd w:id="0"/>
      <w:r w:rsidRPr="00CA1F9B">
        <w:rPr>
          <w:rFonts w:cs="Times New Roman"/>
          <w:b/>
          <w:bCs/>
          <w:i/>
          <w:color w:val="808080" w:themeColor="background1" w:themeShade="80"/>
        </w:rPr>
        <w:t>A.1 Identifikační údaje</w:t>
      </w:r>
    </w:p>
    <w:p w14:paraId="42E9AD42" w14:textId="418DA449" w:rsidR="00545745" w:rsidRPr="00545745" w:rsidRDefault="00545745" w:rsidP="00545745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 w:rsidRPr="00CA1F9B">
        <w:rPr>
          <w:rFonts w:cs="Times New Roman"/>
          <w:i/>
          <w:color w:val="808080" w:themeColor="background1" w:themeShade="80"/>
        </w:rPr>
        <w:t xml:space="preserve">A.1.1 Údaje o stavbě </w:t>
      </w:r>
    </w:p>
    <w:p w14:paraId="19A8A548" w14:textId="7AAE899F" w:rsidR="00545745" w:rsidRPr="00545745" w:rsidRDefault="00545745" w:rsidP="00545745">
      <w:pPr>
        <w:autoSpaceDE w:val="0"/>
        <w:autoSpaceDN w:val="0"/>
        <w:adjustRightInd w:val="0"/>
        <w:spacing w:after="68"/>
        <w:rPr>
          <w:rFonts w:cs="Times New Roman"/>
          <w:b/>
          <w:color w:val="808080" w:themeColor="background1" w:themeShade="80"/>
        </w:rPr>
      </w:pPr>
      <w:r w:rsidRPr="00CA1F9B">
        <w:rPr>
          <w:rFonts w:cs="Times New Roman"/>
          <w:i/>
          <w:color w:val="808080" w:themeColor="background1" w:themeShade="80"/>
        </w:rPr>
        <w:t xml:space="preserve">a) název stavby: </w:t>
      </w:r>
      <w:r w:rsidRPr="00545745">
        <w:rPr>
          <w:rFonts w:cs="Times New Roman"/>
          <w:b/>
        </w:rPr>
        <w:t>PŘESTUPNÍ TERMINÁL CITADELA</w:t>
      </w:r>
    </w:p>
    <w:p w14:paraId="437F4FC1" w14:textId="3462D7E2" w:rsidR="00545745" w:rsidRDefault="00545745" w:rsidP="00545745"/>
    <w:p w14:paraId="6C30AA29" w14:textId="3C807DC5" w:rsidR="00545745" w:rsidRPr="00CA1F9B" w:rsidRDefault="00545745" w:rsidP="00545745">
      <w:pPr>
        <w:autoSpaceDE w:val="0"/>
        <w:autoSpaceDN w:val="0"/>
        <w:adjustRightInd w:val="0"/>
        <w:spacing w:after="68"/>
        <w:rPr>
          <w:rFonts w:cs="Times New Roman"/>
          <w:i/>
          <w:color w:val="808080" w:themeColor="background1" w:themeShade="80"/>
        </w:rPr>
      </w:pPr>
      <w:r w:rsidRPr="00CA1F9B">
        <w:rPr>
          <w:rFonts w:cs="Times New Roman"/>
          <w:i/>
          <w:color w:val="808080" w:themeColor="background1" w:themeShade="80"/>
        </w:rPr>
        <w:t>b) místo stavby</w:t>
      </w:r>
      <w:r>
        <w:rPr>
          <w:rFonts w:cs="Times New Roman"/>
          <w:i/>
          <w:color w:val="808080" w:themeColor="background1" w:themeShade="80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8"/>
        <w:gridCol w:w="2090"/>
        <w:gridCol w:w="596"/>
        <w:gridCol w:w="745"/>
        <w:gridCol w:w="1276"/>
        <w:gridCol w:w="1316"/>
        <w:gridCol w:w="1484"/>
        <w:gridCol w:w="767"/>
      </w:tblGrid>
      <w:tr w:rsidR="00545745" w14:paraId="06023B12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BC089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č. parcely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61300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vlastník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3A890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č.LV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673AE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výměra (m2)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0AC1B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druh pozemku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7761A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způsob využití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AABAC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katastrální území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98B270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b/>
                <w:i/>
                <w:iCs/>
                <w:sz w:val="18"/>
                <w:szCs w:val="18"/>
                <w:lang w:eastAsia="cs-CZ"/>
              </w:rPr>
              <w:t>ochrana ZPF</w:t>
            </w:r>
          </w:p>
        </w:tc>
      </w:tr>
      <w:tr w:rsidR="00545745" w14:paraId="15B09FB2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0E6DA" w14:textId="643F5776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2558/3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4ED59" w14:textId="2867AD6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D232FF" w14:textId="7E5E8F21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B14EF" w14:textId="3BE8E5E2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10686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F0CCA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7A4D70" w14:textId="3A35E94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silnice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9BA66" w14:textId="6E9A2A89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0A681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545745" w14:paraId="20C1F1AF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B3AD1" w14:textId="5BAF6979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2526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3C44E2" w14:textId="41CCCBDB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2B6D97" w14:textId="11EDC62C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80B61" w14:textId="421080EE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5224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7953B1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8C83C6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A7E792" w14:textId="2CF5D709" w:rsidR="00545745" w:rsidRDefault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B9F10" w14:textId="77777777" w:rsidR="00545745" w:rsidRDefault="00545745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4618F3" w14:paraId="6B6BBE9D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7FA2" w14:textId="58A0833D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2558/6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A3CC2" w14:textId="4450045A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9CAF9" w14:textId="4CC3D2A0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DC8CE5" w14:textId="0B580E2E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661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61040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7A1FAC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1DDAB5" w14:textId="77423F3A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5C27B2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4618F3" w14:paraId="0C6DD862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C7D0E" w14:textId="719D0556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1884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64AD8" w14:textId="6DF1E2F5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020242" w14:textId="739CBBC6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D63E3" w14:textId="5E898C8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1117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8DC0FF" w14:textId="231CCC4A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Zastavěná plocha a nádvoří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1E60E" w14:textId="22D5E89C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384BF" w14:textId="4A548B7E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86F2C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4618F3" w14:paraId="06E85878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12E291" w14:textId="068CC84D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1877/7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AD302" w14:textId="3F7DEDC0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DB0CB" w14:textId="5D16A5B5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43701" w14:textId="612ADB73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150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BF2AB6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639A4" w14:textId="522FD69A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Zeleň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E4B42" w14:textId="4D393ABF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49E524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4618F3" w14:paraId="4AAC81C5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96A486" w14:textId="0CB7FC8F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1877/6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2739C" w14:textId="7E3B4E83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9F3B9" w14:textId="443FE4D6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57E80F" w14:textId="7F763B0B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188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6E57D9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2CF5DA" w14:textId="1FD98AA0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E073C0" w14:textId="2BB9BD76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C5787E" w14:textId="7777777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4618F3" w14:paraId="4E39EA81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148C6" w14:textId="5B92C768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1877/8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A1D70E" w14:textId="3655BFF3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C40922" w14:textId="12B18B2C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9F170D" w14:textId="3207E8AB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1341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43FBF4" w14:textId="32307046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5259C41" w14:textId="24FB08E4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EE83092" w14:textId="7EEB3429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9C2B67" w14:textId="48A0F2A7" w:rsidR="004618F3" w:rsidRDefault="004618F3" w:rsidP="004618F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7C2943" w14:paraId="3926B0C2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72D1E9" w14:textId="39BFE1FC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2072/23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EB9F5A" w14:textId="46F5A34A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Město Litvínov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34D1303" w14:textId="588619C9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DF59B1" w14:textId="63DD447F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569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80C208" w14:textId="5851A504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BA06195" w14:textId="61026A15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Jiná plocha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CC5F34" w14:textId="0ECAA477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56D3212" w14:textId="596864D5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7C2943" w14:paraId="341BE9D1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554B" w14:textId="300FAB51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2558/5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43D851" w14:textId="1227439E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Správa a údržba silnic Ústeckého kraje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E6C80" w14:textId="640BBEC1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2126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253282" w14:textId="5DD439F8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12719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0F6E0E" w14:textId="05C9CE54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FDFE34" w14:textId="409641A3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0DF90B" w14:textId="0950B65C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17E0E7" w14:textId="2569E41E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7C2943" w14:paraId="5AA2E65A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63CD9" w14:textId="4004EB95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1877/19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8A923C7" w14:textId="7B99858A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Billa Reality spol. s.r.o.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CE660F" w14:textId="7FF731DB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3516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82DFBFB" w14:textId="36E808AA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2240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289E4D" w14:textId="5C13855D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C4DF32B" w14:textId="60EBF33F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Zeleň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76BAED" w14:textId="419B5758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EDC4C7" w14:textId="5DA0B34E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7C2943" w14:paraId="09C25EB2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340BD" w14:textId="7793CA22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2594/3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C075A4B" w14:textId="0E5D72FA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Dopravní podnik měst Mostu a Litvínova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1FBB9A" w14:textId="3BEB741C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2903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6CB9F2" w14:textId="5E3B39C8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633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B2638D5" w14:textId="186C8094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5EFFFF" w14:textId="0AA7ED31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komunikace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8FB173" w14:textId="0699E866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97847D" w14:textId="14A5B70C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  <w:tr w:rsidR="007C2943" w14:paraId="256B8B77" w14:textId="77777777" w:rsidTr="004618F3">
        <w:trPr>
          <w:trHeight w:val="480"/>
        </w:trPr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234AF" w14:textId="43B6234E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2594/1</w:t>
            </w:r>
          </w:p>
        </w:tc>
        <w:tc>
          <w:tcPr>
            <w:tcW w:w="115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99BC0A5" w14:textId="50308118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Dopravní podnik měst Mostu a Litvínova</w:t>
            </w:r>
          </w:p>
        </w:tc>
        <w:tc>
          <w:tcPr>
            <w:tcW w:w="32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73A2DB8" w14:textId="323DE104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2903</w:t>
            </w:r>
          </w:p>
        </w:tc>
        <w:tc>
          <w:tcPr>
            <w:tcW w:w="411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DF8CA05" w14:textId="66194D2D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4450</w:t>
            </w:r>
          </w:p>
        </w:tc>
        <w:tc>
          <w:tcPr>
            <w:tcW w:w="70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C6AF8BB" w14:textId="208C4509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Ostatní plocha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ED512C0" w14:textId="26B13BCA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Dráha</w:t>
            </w:r>
          </w:p>
        </w:tc>
        <w:tc>
          <w:tcPr>
            <w:tcW w:w="81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3D0A0C" w14:textId="0B477631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Horní Litvínov</w:t>
            </w:r>
          </w:p>
        </w:tc>
        <w:tc>
          <w:tcPr>
            <w:tcW w:w="42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3B72DFA" w14:textId="1B2D5F21" w:rsidR="007C2943" w:rsidRDefault="007C2943" w:rsidP="007C2943">
            <w:pPr>
              <w:spacing w:line="256" w:lineRule="auto"/>
              <w:jc w:val="center"/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</w:pPr>
            <w:r>
              <w:rPr>
                <w:rFonts w:ascii="Calibri Light" w:eastAsia="Times New Roman" w:hAnsi="Calibri Light" w:cs="Arial"/>
                <w:iCs/>
                <w:sz w:val="18"/>
                <w:szCs w:val="18"/>
                <w:lang w:eastAsia="cs-CZ"/>
              </w:rPr>
              <w:t>NE</w:t>
            </w:r>
          </w:p>
        </w:tc>
      </w:tr>
    </w:tbl>
    <w:p w14:paraId="4F00C920" w14:textId="46AE248E" w:rsidR="00545745" w:rsidRDefault="00545745" w:rsidP="00545745"/>
    <w:p w14:paraId="74FC0E25" w14:textId="77777777" w:rsidR="007C2943" w:rsidRPr="00CA1F9B" w:rsidRDefault="007C2943" w:rsidP="007C2943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 w:rsidRPr="00CA1F9B">
        <w:rPr>
          <w:rFonts w:cs="Times New Roman"/>
          <w:i/>
          <w:color w:val="808080" w:themeColor="background1" w:themeShade="80"/>
        </w:rPr>
        <w:t xml:space="preserve">c) předmět </w:t>
      </w:r>
      <w:proofErr w:type="gramStart"/>
      <w:r w:rsidRPr="00CA1F9B">
        <w:rPr>
          <w:rFonts w:cs="Times New Roman"/>
          <w:i/>
          <w:color w:val="808080" w:themeColor="background1" w:themeShade="80"/>
        </w:rPr>
        <w:t>dokumentace - nová</w:t>
      </w:r>
      <w:proofErr w:type="gramEnd"/>
      <w:r w:rsidRPr="00CA1F9B">
        <w:rPr>
          <w:rFonts w:cs="Times New Roman"/>
          <w:i/>
          <w:color w:val="808080" w:themeColor="background1" w:themeShade="80"/>
        </w:rPr>
        <w:t xml:space="preserve"> stavba nebo změna dokončené stavby, trvalá nebo dočasná stavba, účel užívání stavby. </w:t>
      </w:r>
    </w:p>
    <w:p w14:paraId="34B524DA" w14:textId="77777777" w:rsidR="00E25659" w:rsidRDefault="007C2943" w:rsidP="00E25659">
      <w:r>
        <w:t xml:space="preserve">Projektová dokumentace řeší stavební úpravy dvou autobusových zastávek Citadela. Dále úpravu chodníků, vybudování nových parkovacích míst a úpravu křižovatky Podkrušnohorská </w:t>
      </w:r>
      <w:r w:rsidRPr="007C2943">
        <w:t>&amp;</w:t>
      </w:r>
      <w:r>
        <w:t xml:space="preserve"> K</w:t>
      </w:r>
      <w:r w:rsidR="00E25659">
        <w:t> </w:t>
      </w:r>
      <w:r>
        <w:t>Loučkám</w:t>
      </w:r>
      <w:r w:rsidR="00E25659">
        <w:t>.</w:t>
      </w:r>
    </w:p>
    <w:p w14:paraId="5A70D6E4" w14:textId="47026245" w:rsidR="00E25659" w:rsidRPr="00E25659" w:rsidRDefault="00E25659" w:rsidP="00E25659">
      <w:pPr>
        <w:contextualSpacing/>
      </w:pPr>
      <w:r w:rsidRPr="00E25659">
        <w:rPr>
          <w:rFonts w:cstheme="minorHAnsi"/>
        </w:rPr>
        <w:lastRenderedPageBreak/>
        <w:t>Projektová dokumentace řeší kompletní obměnu povrchů chodníků. Nově vzniknou parkovací zálivy pro podélné stání. Chodníkové plochy jsou doplněny o</w:t>
      </w:r>
      <w:r>
        <w:rPr>
          <w:rFonts w:cstheme="minorHAnsi"/>
        </w:rPr>
        <w:t xml:space="preserve"> dva</w:t>
      </w:r>
      <w:r w:rsidRPr="00E25659">
        <w:rPr>
          <w:rFonts w:cstheme="minorHAnsi"/>
        </w:rPr>
        <w:t xml:space="preserve"> pře</w:t>
      </w:r>
      <w:r>
        <w:rPr>
          <w:rFonts w:cstheme="minorHAnsi"/>
        </w:rPr>
        <w:t xml:space="preserve">chody, místo pro přecházení </w:t>
      </w:r>
      <w:r w:rsidRPr="00E25659">
        <w:rPr>
          <w:rFonts w:cstheme="minorHAnsi"/>
        </w:rPr>
        <w:t xml:space="preserve">a bezbariérové prvky (vodicí linie, příčné spády apod.) </w:t>
      </w:r>
    </w:p>
    <w:p w14:paraId="35F0BE06" w14:textId="6FB76DD7" w:rsidR="00E25659" w:rsidRPr="00E25659" w:rsidRDefault="00E25659" w:rsidP="00E25659">
      <w:pPr>
        <w:contextualSpacing/>
        <w:jc w:val="both"/>
        <w:rPr>
          <w:rFonts w:cstheme="minorHAnsi"/>
        </w:rPr>
      </w:pPr>
      <w:r>
        <w:rPr>
          <w:rFonts w:cstheme="minorHAnsi"/>
        </w:rPr>
        <w:t>V rámci akce b</w:t>
      </w:r>
      <w:r w:rsidRPr="00E25659">
        <w:rPr>
          <w:rFonts w:cstheme="minorHAnsi"/>
        </w:rPr>
        <w:t xml:space="preserve">ude </w:t>
      </w:r>
      <w:r>
        <w:rPr>
          <w:rFonts w:cstheme="minorHAnsi"/>
        </w:rPr>
        <w:t>přesunuto</w:t>
      </w:r>
      <w:r w:rsidRPr="00E25659">
        <w:rPr>
          <w:rFonts w:cstheme="minorHAnsi"/>
        </w:rPr>
        <w:t xml:space="preserve"> veřejné osvětlení. </w:t>
      </w:r>
      <w:r w:rsidR="002723A1">
        <w:rPr>
          <w:rFonts w:cstheme="minorHAnsi"/>
        </w:rPr>
        <w:t xml:space="preserve">Dále je nutné </w:t>
      </w:r>
      <w:r w:rsidR="009B5255">
        <w:rPr>
          <w:rFonts w:cstheme="minorHAnsi"/>
        </w:rPr>
        <w:t>kvůli vybudování autobusového zálivu přesunout sloup trakčního vedení č. 2477.</w:t>
      </w:r>
    </w:p>
    <w:p w14:paraId="6FB6B3CF" w14:textId="4097AA5B" w:rsidR="00E25659" w:rsidRPr="00E25659" w:rsidRDefault="00E25659" w:rsidP="00E25659">
      <w:pPr>
        <w:contextualSpacing/>
        <w:jc w:val="both"/>
        <w:rPr>
          <w:rFonts w:cstheme="minorHAnsi"/>
        </w:rPr>
      </w:pPr>
      <w:r w:rsidRPr="00E25659">
        <w:rPr>
          <w:rFonts w:cstheme="minorHAnsi"/>
        </w:rPr>
        <w:t>V rámci sadových úprav dojde k</w:t>
      </w:r>
      <w:r w:rsidR="009B5255">
        <w:rPr>
          <w:rFonts w:cstheme="minorHAnsi"/>
        </w:rPr>
        <w:t xml:space="preserve"> náhradní výsadbě 40ks kultivaru tavolníku. </w:t>
      </w:r>
      <w:r w:rsidRPr="00E25659">
        <w:rPr>
          <w:rFonts w:cstheme="minorHAnsi"/>
        </w:rPr>
        <w:t xml:space="preserve"> </w:t>
      </w:r>
    </w:p>
    <w:p w14:paraId="5436FA83" w14:textId="77777777" w:rsidR="00E25659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</w:p>
    <w:p w14:paraId="3D9E85AF" w14:textId="0364FC7D" w:rsidR="00E25659" w:rsidRPr="00CA1F9B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 w:rsidRPr="00CA1F9B">
        <w:rPr>
          <w:rFonts w:cs="Times New Roman"/>
          <w:i/>
          <w:color w:val="808080" w:themeColor="background1" w:themeShade="80"/>
        </w:rPr>
        <w:t xml:space="preserve">A.1.2 Údaje o stavebníkovi  </w:t>
      </w:r>
    </w:p>
    <w:p w14:paraId="6A074555" w14:textId="77777777" w:rsidR="00E25659" w:rsidRPr="00AF6778" w:rsidRDefault="00E25659" w:rsidP="00E25659">
      <w:pPr>
        <w:autoSpaceDE w:val="0"/>
        <w:autoSpaceDN w:val="0"/>
        <w:adjustRightInd w:val="0"/>
        <w:spacing w:after="0"/>
        <w:rPr>
          <w:rFonts w:cs="Times New Roman"/>
          <w:b/>
          <w:color w:val="000000"/>
        </w:rPr>
      </w:pPr>
      <w:r w:rsidRPr="00AF6778">
        <w:rPr>
          <w:rFonts w:cs="Times New Roman"/>
          <w:b/>
          <w:color w:val="000000"/>
        </w:rPr>
        <w:t xml:space="preserve">Město </w:t>
      </w:r>
      <w:r>
        <w:rPr>
          <w:rFonts w:cs="Times New Roman"/>
          <w:b/>
          <w:color w:val="000000"/>
        </w:rPr>
        <w:t>LITVÍNOV</w:t>
      </w:r>
    </w:p>
    <w:p w14:paraId="33FBBFB2" w14:textId="77777777" w:rsidR="00E25659" w:rsidRPr="00AF6778" w:rsidRDefault="00E25659" w:rsidP="00E25659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  <w:r>
        <w:rPr>
          <w:rFonts w:cs="Times New Roman"/>
          <w:color w:val="000000"/>
        </w:rPr>
        <w:t>Náměstí Míru 11</w:t>
      </w:r>
    </w:p>
    <w:p w14:paraId="5BF5E621" w14:textId="77777777" w:rsidR="00E25659" w:rsidRDefault="00E25659" w:rsidP="00E25659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  <w:r>
        <w:rPr>
          <w:rFonts w:cs="Times New Roman"/>
          <w:color w:val="000000"/>
        </w:rPr>
        <w:t>436 01 Litvínov</w:t>
      </w:r>
    </w:p>
    <w:p w14:paraId="038A715C" w14:textId="77777777" w:rsidR="00E25659" w:rsidRDefault="00E25659" w:rsidP="00E25659">
      <w:pPr>
        <w:autoSpaceDE w:val="0"/>
        <w:autoSpaceDN w:val="0"/>
        <w:adjustRightInd w:val="0"/>
        <w:spacing w:after="0"/>
        <w:rPr>
          <w:rFonts w:cs="Times New Roman"/>
          <w:color w:val="000000"/>
        </w:rPr>
      </w:pPr>
      <w:r>
        <w:rPr>
          <w:rFonts w:cs="Times New Roman"/>
          <w:color w:val="000000"/>
        </w:rPr>
        <w:t>IČ: 00266027</w:t>
      </w:r>
    </w:p>
    <w:p w14:paraId="2521CE14" w14:textId="77777777" w:rsidR="00E25659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</w:p>
    <w:p w14:paraId="0635935B" w14:textId="527D1F2C" w:rsidR="00E25659" w:rsidRPr="00167E0A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 w:rsidRPr="00167E0A">
        <w:rPr>
          <w:rFonts w:cs="Times New Roman"/>
          <w:i/>
          <w:color w:val="808080" w:themeColor="background1" w:themeShade="80"/>
        </w:rPr>
        <w:t xml:space="preserve">A.1.3 Údaje o zpracovateli dokumentace </w:t>
      </w:r>
    </w:p>
    <w:p w14:paraId="5062C0D5" w14:textId="77777777" w:rsidR="00E25659" w:rsidRPr="00167E0A" w:rsidRDefault="00E25659" w:rsidP="00E25659">
      <w:pPr>
        <w:autoSpaceDE w:val="0"/>
        <w:autoSpaceDN w:val="0"/>
        <w:adjustRightInd w:val="0"/>
        <w:spacing w:after="68"/>
        <w:rPr>
          <w:rFonts w:cs="Times New Roman"/>
          <w:i/>
          <w:color w:val="808080" w:themeColor="background1" w:themeShade="80"/>
        </w:rPr>
      </w:pPr>
      <w:r w:rsidRPr="00167E0A">
        <w:rPr>
          <w:rFonts w:cs="Times New Roman"/>
          <w:i/>
          <w:color w:val="808080" w:themeColor="background1" w:themeShade="80"/>
        </w:rPr>
        <w:t xml:space="preserve">a) jméno, příjmení, obchodní firma, identifikační číslo osob, místo podnikání (fyzická osoba podnikající) nebo obchodní firma nebo název, identifikační číslo osob, adresa sídla (právnická osoba), </w:t>
      </w:r>
    </w:p>
    <w:p w14:paraId="4136C046" w14:textId="12E9B2B3" w:rsidR="00E25659" w:rsidRPr="00E25659" w:rsidRDefault="00E25659" w:rsidP="00E25659">
      <w:pPr>
        <w:rPr>
          <w:rFonts w:cs="Times New Roman"/>
        </w:rPr>
      </w:pPr>
      <w:r w:rsidRPr="00AF6778">
        <w:rPr>
          <w:rFonts w:cs="Times New Roman"/>
          <w:b/>
        </w:rPr>
        <w:t>MESSOR s.r.o.,</w:t>
      </w:r>
      <w:r w:rsidRPr="00AF6778">
        <w:rPr>
          <w:rFonts w:cs="Times New Roman"/>
        </w:rPr>
        <w:t xml:space="preserve"> Jana </w:t>
      </w:r>
      <w:proofErr w:type="spellStart"/>
      <w:r w:rsidRPr="00AF6778">
        <w:rPr>
          <w:rFonts w:cs="Times New Roman"/>
        </w:rPr>
        <w:t>Švermy</w:t>
      </w:r>
      <w:proofErr w:type="spellEnd"/>
      <w:r w:rsidRPr="00AF6778">
        <w:rPr>
          <w:rFonts w:cs="Times New Roman"/>
        </w:rPr>
        <w:t xml:space="preserve"> 11, 432 01 Kadaň, </w:t>
      </w:r>
      <w:proofErr w:type="gramStart"/>
      <w:r w:rsidRPr="00AF6778">
        <w:rPr>
          <w:rFonts w:cs="Times New Roman"/>
        </w:rPr>
        <w:t>IČ :</w:t>
      </w:r>
      <w:proofErr w:type="gramEnd"/>
      <w:r w:rsidRPr="00AF6778">
        <w:rPr>
          <w:rFonts w:cs="Times New Roman"/>
        </w:rPr>
        <w:t xml:space="preserve"> 28738217</w:t>
      </w:r>
    </w:p>
    <w:p w14:paraId="6C7B0EA6" w14:textId="77777777" w:rsidR="00E25659" w:rsidRPr="00167E0A" w:rsidRDefault="00E25659" w:rsidP="00E25659">
      <w:pPr>
        <w:autoSpaceDE w:val="0"/>
        <w:autoSpaceDN w:val="0"/>
        <w:adjustRightInd w:val="0"/>
        <w:spacing w:after="68"/>
        <w:rPr>
          <w:rFonts w:cs="Times New Roman"/>
          <w:i/>
          <w:color w:val="808080" w:themeColor="background1" w:themeShade="80"/>
        </w:rPr>
      </w:pPr>
      <w:r w:rsidRPr="00167E0A">
        <w:rPr>
          <w:rFonts w:cs="Times New Roman"/>
          <w:i/>
          <w:color w:val="808080" w:themeColor="background1" w:themeShade="80"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</w:p>
    <w:p w14:paraId="47EDF29C" w14:textId="77777777" w:rsidR="00E25659" w:rsidRPr="00AF6778" w:rsidRDefault="00E25659" w:rsidP="00E25659">
      <w:pPr>
        <w:autoSpaceDE w:val="0"/>
        <w:autoSpaceDN w:val="0"/>
        <w:adjustRightInd w:val="0"/>
        <w:rPr>
          <w:rFonts w:cs="Times New Roman"/>
        </w:rPr>
      </w:pPr>
      <w:r w:rsidRPr="00AF6778">
        <w:rPr>
          <w:rFonts w:cs="Times New Roman"/>
        </w:rPr>
        <w:t xml:space="preserve">Ing. </w:t>
      </w:r>
      <w:r>
        <w:rPr>
          <w:rFonts w:cs="Times New Roman"/>
        </w:rPr>
        <w:t>Marek RAPANT</w:t>
      </w:r>
    </w:p>
    <w:p w14:paraId="0E8131B4" w14:textId="77777777" w:rsidR="00E25659" w:rsidRPr="00AF6778" w:rsidRDefault="00E25659" w:rsidP="00E25659">
      <w:pPr>
        <w:autoSpaceDE w:val="0"/>
        <w:autoSpaceDN w:val="0"/>
        <w:adjustRightInd w:val="0"/>
        <w:rPr>
          <w:rFonts w:cs="Times New Roman"/>
        </w:rPr>
      </w:pPr>
      <w:r w:rsidRPr="00AF6778">
        <w:rPr>
          <w:rFonts w:cs="Times New Roman"/>
        </w:rPr>
        <w:t xml:space="preserve">-autorizovaný technik pro obor dopravní stavby nekolejová doprava u ČKAIT, </w:t>
      </w:r>
    </w:p>
    <w:p w14:paraId="03A96DDA" w14:textId="1CEB88BE" w:rsidR="00E25659" w:rsidRPr="00E25659" w:rsidRDefault="00E25659" w:rsidP="00E25659">
      <w:pPr>
        <w:autoSpaceDE w:val="0"/>
        <w:autoSpaceDN w:val="0"/>
        <w:adjustRightInd w:val="0"/>
        <w:rPr>
          <w:rFonts w:cs="Times New Roman"/>
        </w:rPr>
      </w:pPr>
      <w:r w:rsidRPr="00AF6778">
        <w:rPr>
          <w:rFonts w:cs="Times New Roman"/>
        </w:rPr>
        <w:t xml:space="preserve">číslo autorizace: </w:t>
      </w:r>
      <w:r>
        <w:rPr>
          <w:rFonts w:cs="Times New Roman"/>
        </w:rPr>
        <w:t>03 01 522</w:t>
      </w:r>
    </w:p>
    <w:p w14:paraId="15E7E398" w14:textId="77777777" w:rsidR="00E25659" w:rsidRPr="00167E0A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>
        <w:rPr>
          <w:rFonts w:cs="Times New Roman"/>
          <w:i/>
          <w:color w:val="808080" w:themeColor="background1" w:themeShade="80"/>
        </w:rPr>
        <w:t>c</w:t>
      </w:r>
      <w:r w:rsidRPr="00167E0A">
        <w:rPr>
          <w:rFonts w:cs="Times New Roman"/>
          <w:i/>
          <w:color w:val="808080" w:themeColor="background1" w:themeShade="80"/>
        </w:rPr>
        <w:t xml:space="preserve">) jména a příjmení projektantů dokumentace přikládané v dokladové části s oprávněním podle zvláštních předpisů4). </w:t>
      </w:r>
    </w:p>
    <w:p w14:paraId="7C12F5D0" w14:textId="77777777" w:rsidR="00E25659" w:rsidRDefault="00E25659" w:rsidP="00E25659">
      <w:r>
        <w:t>Vladimír ČECHURA</w:t>
      </w:r>
    </w:p>
    <w:p w14:paraId="62FAE973" w14:textId="77777777" w:rsidR="00E25659" w:rsidRDefault="00E25659" w:rsidP="00E25659">
      <w:pPr>
        <w:autoSpaceDE w:val="0"/>
        <w:autoSpaceDN w:val="0"/>
        <w:adjustRightInd w:val="0"/>
        <w:rPr>
          <w:rFonts w:cs="Times New Roman"/>
          <w:b/>
          <w:bCs/>
          <w:i/>
          <w:color w:val="808080" w:themeColor="background1" w:themeShade="80"/>
        </w:rPr>
      </w:pPr>
    </w:p>
    <w:p w14:paraId="476363D1" w14:textId="659A13EA" w:rsidR="00E25659" w:rsidRPr="00167E0A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 w:rsidRPr="00167E0A">
        <w:rPr>
          <w:rFonts w:cs="Times New Roman"/>
          <w:b/>
          <w:bCs/>
          <w:i/>
          <w:color w:val="808080" w:themeColor="background1" w:themeShade="80"/>
        </w:rPr>
        <w:t xml:space="preserve">A.2 Členění stavby na objekty a technická a technologická zařízení </w:t>
      </w:r>
    </w:p>
    <w:p w14:paraId="4AF914E7" w14:textId="77777777" w:rsidR="00E25659" w:rsidRPr="00167E0A" w:rsidRDefault="00E25659" w:rsidP="00E25659">
      <w:pPr>
        <w:autoSpaceDE w:val="0"/>
        <w:autoSpaceDN w:val="0"/>
        <w:adjustRightInd w:val="0"/>
        <w:rPr>
          <w:rFonts w:cs="Times New Roman"/>
          <w:i/>
          <w:color w:val="808080" w:themeColor="background1" w:themeShade="80"/>
        </w:rPr>
      </w:pPr>
      <w:r w:rsidRPr="00167E0A">
        <w:rPr>
          <w:rFonts w:cs="Times New Roman"/>
          <w:i/>
          <w:color w:val="808080" w:themeColor="background1" w:themeShade="80"/>
        </w:rPr>
        <w:t xml:space="preserve">Stavba pozemní komunikace se člení podle těchto zásad: </w:t>
      </w:r>
    </w:p>
    <w:p w14:paraId="627D9F48" w14:textId="77777777" w:rsidR="00E25659" w:rsidRPr="00E25659" w:rsidRDefault="00E25659" w:rsidP="00E25659">
      <w:pPr>
        <w:spacing w:after="0"/>
        <w:ind w:left="360"/>
        <w:rPr>
          <w:rFonts w:cstheme="minorHAnsi"/>
        </w:rPr>
      </w:pPr>
      <w:r w:rsidRPr="00E25659">
        <w:rPr>
          <w:rFonts w:cstheme="minorHAnsi"/>
        </w:rPr>
        <w:t>SO.000 – Objekty přípravy staveniště</w:t>
      </w:r>
    </w:p>
    <w:p w14:paraId="085468B9" w14:textId="77777777" w:rsidR="00E25659" w:rsidRPr="00E25659" w:rsidRDefault="00E25659" w:rsidP="00E25659">
      <w:pPr>
        <w:spacing w:after="0"/>
        <w:ind w:left="360"/>
        <w:rPr>
          <w:rFonts w:cstheme="minorHAnsi"/>
        </w:rPr>
      </w:pPr>
      <w:r w:rsidRPr="00E25659">
        <w:rPr>
          <w:rFonts w:cstheme="minorHAnsi"/>
        </w:rPr>
        <w:t>SO.100 – Objekty pozemní komunikace</w:t>
      </w:r>
    </w:p>
    <w:p w14:paraId="29423356" w14:textId="77777777" w:rsidR="00E25659" w:rsidRPr="00E25659" w:rsidRDefault="00E25659" w:rsidP="00E25659">
      <w:pPr>
        <w:spacing w:after="0"/>
        <w:ind w:left="360"/>
        <w:rPr>
          <w:rFonts w:cstheme="minorHAnsi"/>
        </w:rPr>
      </w:pPr>
      <w:r w:rsidRPr="00E25659">
        <w:rPr>
          <w:rFonts w:cstheme="minorHAnsi"/>
        </w:rPr>
        <w:t>SO.300 – Vodohospodářské objekty</w:t>
      </w:r>
    </w:p>
    <w:p w14:paraId="6BB83192" w14:textId="04AF9B75" w:rsidR="00E25659" w:rsidRDefault="00E25659" w:rsidP="00E25659">
      <w:pPr>
        <w:spacing w:after="0"/>
        <w:ind w:left="360"/>
        <w:rPr>
          <w:rFonts w:cstheme="minorHAnsi"/>
        </w:rPr>
      </w:pPr>
      <w:r w:rsidRPr="00E25659">
        <w:rPr>
          <w:rFonts w:cstheme="minorHAnsi"/>
        </w:rPr>
        <w:t>SO.400 – Elektro a sdělovací objekty</w:t>
      </w:r>
    </w:p>
    <w:p w14:paraId="5FEB8176" w14:textId="463AB0A8" w:rsidR="002723A1" w:rsidRPr="00E25659" w:rsidRDefault="002723A1" w:rsidP="00E25659">
      <w:pPr>
        <w:spacing w:after="0"/>
        <w:ind w:left="360"/>
        <w:rPr>
          <w:rFonts w:cstheme="minorHAnsi"/>
        </w:rPr>
      </w:pPr>
      <w:r>
        <w:rPr>
          <w:rFonts w:cstheme="minorHAnsi"/>
        </w:rPr>
        <w:t>SO.660 – Objekty drah</w:t>
      </w:r>
    </w:p>
    <w:p w14:paraId="5E8A0806" w14:textId="77777777" w:rsidR="009F10FE" w:rsidRDefault="009F10FE" w:rsidP="009F10FE">
      <w:pPr>
        <w:rPr>
          <w:b/>
          <w:bCs/>
          <w:i/>
          <w:color w:val="808080" w:themeColor="background1" w:themeShade="80"/>
        </w:rPr>
      </w:pPr>
    </w:p>
    <w:p w14:paraId="133C4058" w14:textId="77777777" w:rsidR="009F10FE" w:rsidRDefault="009F10FE" w:rsidP="009F10FE">
      <w:pPr>
        <w:rPr>
          <w:b/>
          <w:bCs/>
          <w:i/>
          <w:color w:val="808080" w:themeColor="background1" w:themeShade="80"/>
        </w:rPr>
      </w:pPr>
    </w:p>
    <w:p w14:paraId="24B3B0D3" w14:textId="77777777" w:rsidR="009F10FE" w:rsidRDefault="009F10FE" w:rsidP="009F10FE">
      <w:pPr>
        <w:rPr>
          <w:b/>
          <w:bCs/>
          <w:i/>
          <w:color w:val="808080" w:themeColor="background1" w:themeShade="80"/>
        </w:rPr>
      </w:pPr>
    </w:p>
    <w:p w14:paraId="46BDB788" w14:textId="097D3DAC" w:rsidR="009F10FE" w:rsidRPr="00167E0A" w:rsidRDefault="009F10FE" w:rsidP="009F10FE">
      <w:pPr>
        <w:rPr>
          <w:b/>
          <w:bCs/>
          <w:i/>
          <w:color w:val="808080" w:themeColor="background1" w:themeShade="80"/>
        </w:rPr>
      </w:pPr>
      <w:r w:rsidRPr="00167E0A">
        <w:rPr>
          <w:b/>
          <w:bCs/>
          <w:i/>
          <w:color w:val="808080" w:themeColor="background1" w:themeShade="80"/>
        </w:rPr>
        <w:t>A.3 Seznam vstupních podkladů</w:t>
      </w:r>
    </w:p>
    <w:p w14:paraId="7736BF89" w14:textId="42F9A864" w:rsidR="009F10FE" w:rsidRDefault="009F10FE" w:rsidP="009F10FE">
      <w:pPr>
        <w:spacing w:after="0"/>
        <w:rPr>
          <w:i/>
        </w:rPr>
      </w:pPr>
      <w:r>
        <w:rPr>
          <w:i/>
        </w:rPr>
        <w:t>Geodetické zaměření stavby (výškopis polohopis)</w:t>
      </w:r>
    </w:p>
    <w:p w14:paraId="55EF7E8F" w14:textId="7A05AC52" w:rsidR="009F10FE" w:rsidRDefault="009F10FE" w:rsidP="009F10FE">
      <w:pPr>
        <w:spacing w:after="0"/>
        <w:rPr>
          <w:i/>
        </w:rPr>
      </w:pPr>
      <w:r>
        <w:rPr>
          <w:i/>
        </w:rPr>
        <w:t>Podklad katastrální mapy</w:t>
      </w:r>
    </w:p>
    <w:p w14:paraId="0A5ED087" w14:textId="7EBDE462" w:rsidR="009F10FE" w:rsidRDefault="009F10FE" w:rsidP="009F10FE">
      <w:pPr>
        <w:spacing w:after="0"/>
        <w:rPr>
          <w:i/>
        </w:rPr>
      </w:pPr>
      <w:r>
        <w:rPr>
          <w:i/>
        </w:rPr>
        <w:t>Prohlídka stavby</w:t>
      </w:r>
    </w:p>
    <w:p w14:paraId="05DF3C14" w14:textId="628A551D" w:rsidR="009F10FE" w:rsidRDefault="009F10FE" w:rsidP="009F10FE">
      <w:pPr>
        <w:spacing w:after="0"/>
        <w:rPr>
          <w:i/>
        </w:rPr>
      </w:pPr>
      <w:r>
        <w:rPr>
          <w:i/>
        </w:rPr>
        <w:t>Zpracovaná studie odsouhlasená stavebníkem</w:t>
      </w:r>
    </w:p>
    <w:p w14:paraId="2B899BB7" w14:textId="46B0C0BF" w:rsidR="009F10FE" w:rsidRPr="00AF6778" w:rsidRDefault="009F10FE" w:rsidP="009F10FE">
      <w:pPr>
        <w:spacing w:after="0"/>
        <w:rPr>
          <w:i/>
        </w:rPr>
      </w:pPr>
      <w:r>
        <w:rPr>
          <w:i/>
        </w:rPr>
        <w:t>Mapové podklady</w:t>
      </w:r>
    </w:p>
    <w:p w14:paraId="592796D1" w14:textId="77777777" w:rsidR="009F10FE" w:rsidRDefault="009F10FE" w:rsidP="009F10FE"/>
    <w:p w14:paraId="07B17A17" w14:textId="4A48E0C5" w:rsidR="00E25659" w:rsidRPr="00E25659" w:rsidRDefault="00E25659" w:rsidP="00E25659">
      <w:pPr>
        <w:rPr>
          <w:rFonts w:cstheme="minorHAnsi"/>
        </w:rPr>
      </w:pPr>
    </w:p>
    <w:sectPr w:rsidR="00E25659" w:rsidRPr="00E2565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8C468" w14:textId="77777777" w:rsidR="00377D06" w:rsidRDefault="00377D06" w:rsidP="00545745">
      <w:pPr>
        <w:spacing w:after="0" w:line="240" w:lineRule="auto"/>
      </w:pPr>
      <w:r>
        <w:separator/>
      </w:r>
    </w:p>
  </w:endnote>
  <w:endnote w:type="continuationSeparator" w:id="0">
    <w:p w14:paraId="39074631" w14:textId="77777777" w:rsidR="00377D06" w:rsidRDefault="00377D06" w:rsidP="005457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31A87" w14:textId="77777777" w:rsidR="00545745" w:rsidRDefault="00545745" w:rsidP="00545745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  <w:r>
      <w:rPr>
        <w:rFonts w:asciiTheme="majorHAnsi" w:hAnsiTheme="majorHAnsi"/>
        <w:noProof/>
        <w:color w:val="8496B0" w:themeColor="text2" w:themeTint="99"/>
        <w:spacing w:val="60"/>
        <w:sz w:val="16"/>
        <w:szCs w:val="16"/>
        <w:lang w:eastAsia="cs-CZ"/>
      </w:rPr>
      <w:drawing>
        <wp:inline distT="0" distB="0" distL="0" distR="0" wp14:anchorId="64732A30" wp14:editId="31264E7A">
          <wp:extent cx="6102096" cy="36576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ápatí 201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2096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9D98CB" w14:textId="77777777" w:rsidR="00545745" w:rsidRDefault="00545745" w:rsidP="00545745">
    <w:pPr>
      <w:tabs>
        <w:tab w:val="center" w:pos="4550"/>
        <w:tab w:val="left" w:pos="5818"/>
      </w:tabs>
      <w:ind w:right="260"/>
      <w:rPr>
        <w:rFonts w:asciiTheme="majorHAnsi" w:hAnsiTheme="majorHAnsi"/>
        <w:color w:val="8496B0" w:themeColor="text2" w:themeTint="99"/>
        <w:spacing w:val="60"/>
        <w:sz w:val="16"/>
        <w:szCs w:val="16"/>
      </w:rPr>
    </w:pPr>
  </w:p>
  <w:p w14:paraId="1A6012D8" w14:textId="1237D251" w:rsidR="00545745" w:rsidRPr="00545745" w:rsidRDefault="00545745" w:rsidP="00545745">
    <w:pPr>
      <w:tabs>
        <w:tab w:val="center" w:pos="4550"/>
        <w:tab w:val="left" w:pos="5818"/>
      </w:tabs>
      <w:ind w:right="260"/>
      <w:jc w:val="right"/>
      <w:rPr>
        <w:rFonts w:asciiTheme="majorHAnsi" w:hAnsiTheme="majorHAnsi"/>
        <w:color w:val="222A35" w:themeColor="text2" w:themeShade="80"/>
        <w:sz w:val="16"/>
        <w:szCs w:val="16"/>
      </w:rPr>
    </w:pPr>
    <w:r w:rsidRPr="008C7109">
      <w:rPr>
        <w:rFonts w:asciiTheme="majorHAnsi" w:hAnsiTheme="majorHAnsi"/>
        <w:color w:val="8496B0" w:themeColor="text2" w:themeTint="99"/>
        <w:spacing w:val="60"/>
        <w:sz w:val="16"/>
        <w:szCs w:val="16"/>
      </w:rPr>
      <w:t>Stránka</w:t>
    </w:r>
    <w:r w:rsidRPr="008C7109">
      <w:rPr>
        <w:rFonts w:asciiTheme="majorHAnsi" w:hAnsiTheme="majorHAnsi"/>
        <w:color w:val="8496B0" w:themeColor="text2" w:themeTint="99"/>
        <w:sz w:val="16"/>
        <w:szCs w:val="16"/>
      </w:rPr>
      <w:t xml:space="preserve">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PAGE 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color w:val="323E4F" w:themeColor="text2" w:themeShade="BF"/>
        <w:sz w:val="16"/>
        <w:szCs w:val="16"/>
      </w:rPr>
      <w:t>1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t xml:space="preserve"> | 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begin"/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instrText>NUMPAGES  \* Arabic  \* MERGEFORMAT</w:instrTex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separate"/>
    </w:r>
    <w:r>
      <w:rPr>
        <w:rFonts w:asciiTheme="majorHAnsi" w:hAnsiTheme="majorHAnsi"/>
        <w:color w:val="323E4F" w:themeColor="text2" w:themeShade="BF"/>
        <w:sz w:val="16"/>
        <w:szCs w:val="16"/>
      </w:rPr>
      <w:t>3</w:t>
    </w:r>
    <w:r w:rsidRPr="008C7109">
      <w:rPr>
        <w:rFonts w:asciiTheme="majorHAnsi" w:hAnsiTheme="majorHAnsi"/>
        <w:color w:val="323E4F" w:themeColor="text2" w:themeShade="BF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2C9CC2" w14:textId="77777777" w:rsidR="00377D06" w:rsidRDefault="00377D06" w:rsidP="00545745">
      <w:pPr>
        <w:spacing w:after="0" w:line="240" w:lineRule="auto"/>
      </w:pPr>
      <w:r>
        <w:separator/>
      </w:r>
    </w:p>
  </w:footnote>
  <w:footnote w:type="continuationSeparator" w:id="0">
    <w:p w14:paraId="3269514F" w14:textId="77777777" w:rsidR="00377D06" w:rsidRDefault="00377D06" w:rsidP="005457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49241" w14:textId="0138584D" w:rsidR="00545745" w:rsidRDefault="00545745" w:rsidP="00545745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bookmarkStart w:id="1" w:name="_Hlk483309349"/>
    <w:bookmarkStart w:id="2" w:name="_Hlk483309348"/>
    <w:r>
      <w:rPr>
        <w:rFonts w:cs="Times New Roman"/>
        <w:i/>
        <w:sz w:val="14"/>
        <w:szCs w:val="14"/>
      </w:rPr>
      <w:t>18067</w:t>
    </w:r>
  </w:p>
  <w:p w14:paraId="5BBB93D0" w14:textId="3E40F26C" w:rsidR="00545745" w:rsidRDefault="00545745" w:rsidP="00545745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  <w:lang w:eastAsia="zh-CN"/>
      </w:rPr>
      <w:t>„PŘESTUPNÍ TERMINÁL CITADELA “</w:t>
    </w:r>
  </w:p>
  <w:p w14:paraId="4622885A" w14:textId="77777777" w:rsidR="00545745" w:rsidRDefault="00545745" w:rsidP="00545745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</w:rPr>
      <w:t>A. PRŮVODNÍ ZPRÁVA</w:t>
    </w:r>
  </w:p>
  <w:bookmarkEnd w:id="1"/>
  <w:bookmarkEnd w:id="2"/>
  <w:p w14:paraId="35D5ACDA" w14:textId="25E78E16" w:rsidR="00545745" w:rsidRDefault="00545745" w:rsidP="00545745">
    <w:pPr>
      <w:pStyle w:val="Zhlav"/>
      <w:pBdr>
        <w:bottom w:val="single" w:sz="4" w:space="1" w:color="auto"/>
      </w:pBdr>
      <w:jc w:val="right"/>
      <w:rPr>
        <w:rFonts w:cs="Times New Roman"/>
        <w:i/>
        <w:sz w:val="14"/>
        <w:szCs w:val="14"/>
      </w:rPr>
    </w:pPr>
    <w:r>
      <w:rPr>
        <w:rFonts w:cs="Times New Roman"/>
        <w:i/>
        <w:sz w:val="14"/>
        <w:szCs w:val="14"/>
      </w:rPr>
      <w:t>05/2019</w:t>
    </w:r>
  </w:p>
  <w:p w14:paraId="6154FDF6" w14:textId="77777777" w:rsidR="00545745" w:rsidRDefault="00545745" w:rsidP="00545745">
    <w:pPr>
      <w:pStyle w:val="Zhlav"/>
    </w:pPr>
  </w:p>
  <w:p w14:paraId="5D3A47A4" w14:textId="77777777" w:rsidR="00545745" w:rsidRDefault="0054574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BD"/>
    <w:rsid w:val="000E72BD"/>
    <w:rsid w:val="00116063"/>
    <w:rsid w:val="00195BE3"/>
    <w:rsid w:val="002723A1"/>
    <w:rsid w:val="00377D06"/>
    <w:rsid w:val="004618F3"/>
    <w:rsid w:val="00545745"/>
    <w:rsid w:val="007C2943"/>
    <w:rsid w:val="00995AEF"/>
    <w:rsid w:val="009B5255"/>
    <w:rsid w:val="009F10FE"/>
    <w:rsid w:val="00A558E0"/>
    <w:rsid w:val="00E21D89"/>
    <w:rsid w:val="00E25659"/>
    <w:rsid w:val="00F9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DCF2C"/>
  <w15:chartTrackingRefBased/>
  <w15:docId w15:val="{ABDD5BA0-73AA-4B25-81E8-4461A4169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C29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4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5745"/>
  </w:style>
  <w:style w:type="paragraph" w:styleId="Zpat">
    <w:name w:val="footer"/>
    <w:basedOn w:val="Normln"/>
    <w:link w:val="ZpatChar"/>
    <w:uiPriority w:val="99"/>
    <w:unhideWhenUsed/>
    <w:rsid w:val="005457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5745"/>
  </w:style>
  <w:style w:type="character" w:styleId="Odkaznakoment">
    <w:name w:val="annotation reference"/>
    <w:basedOn w:val="Standardnpsmoodstavce"/>
    <w:uiPriority w:val="99"/>
    <w:semiHidden/>
    <w:unhideWhenUsed/>
    <w:rsid w:val="007C294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294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294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C294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C294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C29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C2943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7C29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eznam">
    <w:name w:val="List"/>
    <w:basedOn w:val="Normln"/>
    <w:uiPriority w:val="99"/>
    <w:unhideWhenUsed/>
    <w:rsid w:val="007C2943"/>
    <w:pPr>
      <w:ind w:left="283" w:hanging="283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7C29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7C2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0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488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Čechura</dc:creator>
  <cp:keywords/>
  <dc:description/>
  <cp:lastModifiedBy>Vladimír Čechura</cp:lastModifiedBy>
  <cp:revision>8</cp:revision>
  <cp:lastPrinted>2019-10-14T05:29:00Z</cp:lastPrinted>
  <dcterms:created xsi:type="dcterms:W3CDTF">2019-05-16T05:21:00Z</dcterms:created>
  <dcterms:modified xsi:type="dcterms:W3CDTF">2019-10-14T05:30:00Z</dcterms:modified>
</cp:coreProperties>
</file>