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369D64" w14:textId="77777777" w:rsidR="00661D1B" w:rsidRPr="00EA3C70" w:rsidRDefault="00661D1B" w:rsidP="00EA3C70">
      <w:pPr>
        <w:tabs>
          <w:tab w:val="left" w:pos="284"/>
        </w:tabs>
        <w:jc w:val="both"/>
        <w:rPr>
          <w:rFonts w:ascii="Book Antiqua" w:hAnsi="Book Antiqua" w:cs="Arial"/>
          <w:sz w:val="24"/>
        </w:rPr>
      </w:pPr>
    </w:p>
    <w:p w14:paraId="7340CA7C" w14:textId="77777777" w:rsidR="00E04E8E" w:rsidRPr="00EA3C70" w:rsidRDefault="00E04E8E" w:rsidP="00EA3C70">
      <w:pPr>
        <w:pStyle w:val="Nadpis1"/>
        <w:spacing w:before="0"/>
        <w:rPr>
          <w:rFonts w:ascii="Book Antiqua" w:hAnsi="Book Antiqua"/>
        </w:rPr>
      </w:pPr>
      <w:r w:rsidRPr="00EA3C70">
        <w:rPr>
          <w:rFonts w:ascii="Book Antiqua" w:hAnsi="Book Antiqua"/>
        </w:rPr>
        <w:t>Preambule</w:t>
      </w:r>
    </w:p>
    <w:p w14:paraId="17A4E9FD" w14:textId="77777777" w:rsidR="00E04E8E" w:rsidRPr="00EA3C70" w:rsidRDefault="00E04E8E" w:rsidP="00EA3C70">
      <w:pPr>
        <w:tabs>
          <w:tab w:val="left" w:pos="284"/>
        </w:tabs>
        <w:jc w:val="both"/>
        <w:rPr>
          <w:rFonts w:ascii="Book Antiqua" w:hAnsi="Book Antiqua" w:cs="Arial"/>
          <w:sz w:val="24"/>
        </w:rPr>
      </w:pPr>
      <w:r w:rsidRPr="00EA3C70">
        <w:rPr>
          <w:rFonts w:ascii="Book Antiqua" w:hAnsi="Book Antiqua"/>
          <w:sz w:val="24"/>
        </w:rPr>
        <w:tab/>
      </w:r>
      <w:r w:rsidRPr="00EA3C70">
        <w:rPr>
          <w:rFonts w:ascii="Book Antiqua" w:hAnsi="Book Antiqua"/>
          <w:sz w:val="24"/>
        </w:rPr>
        <w:tab/>
      </w:r>
    </w:p>
    <w:p w14:paraId="2CB15AF7" w14:textId="2273F368" w:rsidR="00E04E8E" w:rsidRPr="00EA3C70" w:rsidRDefault="00E04E8E" w:rsidP="00EA3C70">
      <w:pPr>
        <w:tabs>
          <w:tab w:val="left" w:pos="284"/>
        </w:tabs>
        <w:jc w:val="both"/>
        <w:rPr>
          <w:rFonts w:ascii="Book Antiqua" w:hAnsi="Book Antiqua" w:cs="Arial"/>
        </w:rPr>
      </w:pPr>
      <w:r w:rsidRPr="00EA3C70">
        <w:rPr>
          <w:rFonts w:ascii="Book Antiqua" w:hAnsi="Book Antiqua" w:cs="Arial"/>
        </w:rPr>
        <w:t>T</w:t>
      </w:r>
      <w:r w:rsidR="00EA3C70" w:rsidRPr="00EA3C70">
        <w:rPr>
          <w:rFonts w:ascii="Book Antiqua" w:hAnsi="Book Antiqua" w:cs="Arial"/>
        </w:rPr>
        <w:t>ato příloha z</w:t>
      </w:r>
      <w:r w:rsidRPr="00EA3C70">
        <w:rPr>
          <w:rFonts w:ascii="Book Antiqua" w:hAnsi="Book Antiqua" w:cs="Arial"/>
        </w:rPr>
        <w:t>adávací dokumentace obsahuje podmínky a požadavky zadavatele, za kterých má být zpracována nabídková cena dodavatelů. Účelem t</w:t>
      </w:r>
      <w:r w:rsidR="00EA3C70" w:rsidRPr="00EA3C70">
        <w:rPr>
          <w:rFonts w:ascii="Book Antiqua" w:hAnsi="Book Antiqua" w:cs="Arial"/>
        </w:rPr>
        <w:t xml:space="preserve">éto přílohy </w:t>
      </w:r>
      <w:r w:rsidRPr="00EA3C70">
        <w:rPr>
          <w:rFonts w:ascii="Book Antiqua" w:hAnsi="Book Antiqua" w:cs="Arial"/>
        </w:rPr>
        <w:t xml:space="preserve">je zabezpečit obsahovou shodu všech nabídkových cen a usnadnit následné posouzení dodavatelem předložených cenových nabídek. Předpokládá se, že dodavatel před zpracováním cenové nabídky pečlivě prostuduje všechny pokyny a technické specifikace obsažené v zadávacích podmínkách a bude se jimi při zpracování nabídkové ceny řídit. Pokud dodavatel nesplní ve vztahu k nabídkové ceně všechny pokyny nebo pokud neposkytne včas všechny požadované informace a dokumenty, nebo pokud jeho nabídka nebude v každém ohledu odpovídat zadávacím podmínkám, může to mít za důsledek vyřazení nabídky a následné vyloučení </w:t>
      </w:r>
      <w:r w:rsidR="00DA0636" w:rsidRPr="00EA3C70">
        <w:rPr>
          <w:rFonts w:ascii="Book Antiqua" w:hAnsi="Book Antiqua" w:cs="Arial"/>
        </w:rPr>
        <w:t>účastníka</w:t>
      </w:r>
      <w:r w:rsidRPr="00EA3C70">
        <w:rPr>
          <w:rFonts w:ascii="Book Antiqua" w:hAnsi="Book Antiqua" w:cs="Arial"/>
        </w:rPr>
        <w:t xml:space="preserve"> ze zadávacího řízení. </w:t>
      </w:r>
    </w:p>
    <w:p w14:paraId="2AFB7738" w14:textId="77777777" w:rsidR="003A3A11" w:rsidRPr="00EA3C70" w:rsidRDefault="003A3A11" w:rsidP="00EA3C70">
      <w:pPr>
        <w:tabs>
          <w:tab w:val="left" w:pos="284"/>
        </w:tabs>
        <w:jc w:val="both"/>
        <w:rPr>
          <w:rFonts w:ascii="Book Antiqua" w:hAnsi="Book Antiqua" w:cs="Arial"/>
        </w:rPr>
      </w:pPr>
      <w:r w:rsidRPr="00EA3C70">
        <w:rPr>
          <w:rFonts w:ascii="Book Antiqua" w:hAnsi="Book Antiqua" w:cs="Arial"/>
        </w:rPr>
        <w:t xml:space="preserve">Technické podmínky zadávané veřejné zakázky jsou vymezeny projektovou dokumentací, která </w:t>
      </w:r>
      <w:r w:rsidR="00E941CC" w:rsidRPr="00EA3C70">
        <w:rPr>
          <w:rFonts w:ascii="Book Antiqua" w:hAnsi="Book Antiqua" w:cs="Arial"/>
        </w:rPr>
        <w:t xml:space="preserve">je nedílnou součástí této zadávací dokumentace, a která </w:t>
      </w:r>
      <w:r w:rsidRPr="00EA3C70">
        <w:rPr>
          <w:rFonts w:ascii="Book Antiqua" w:hAnsi="Book Antiqua" w:cs="Arial"/>
        </w:rPr>
        <w:t>rozsahem odpovídá § 92 odstavec 1 písm. a) a b) zákona č. 134/2016 Sb.</w:t>
      </w:r>
      <w:r w:rsidR="0099157F" w:rsidRPr="00EA3C70">
        <w:rPr>
          <w:rFonts w:ascii="Book Antiqua" w:hAnsi="Book Antiqua" w:cs="Arial"/>
        </w:rPr>
        <w:t>,</w:t>
      </w:r>
      <w:r w:rsidRPr="00EA3C70">
        <w:rPr>
          <w:rFonts w:ascii="Book Antiqua" w:hAnsi="Book Antiqua" w:cs="Arial"/>
        </w:rPr>
        <w:t xml:space="preserve"> o zadávání veřejných zakázek. </w:t>
      </w:r>
    </w:p>
    <w:p w14:paraId="0C196FBF" w14:textId="77777777" w:rsidR="003A3A11" w:rsidRDefault="003A3A11" w:rsidP="00EA3C70">
      <w:pPr>
        <w:tabs>
          <w:tab w:val="left" w:pos="284"/>
        </w:tabs>
        <w:jc w:val="both"/>
        <w:rPr>
          <w:rFonts w:ascii="Book Antiqua" w:hAnsi="Book Antiqua" w:cs="Arial"/>
          <w:sz w:val="24"/>
        </w:rPr>
      </w:pPr>
    </w:p>
    <w:p w14:paraId="5461A7ED" w14:textId="77777777" w:rsidR="00EA3C70" w:rsidRPr="00EA3C70" w:rsidRDefault="00EA3C70" w:rsidP="00EA3C70">
      <w:pPr>
        <w:tabs>
          <w:tab w:val="left" w:pos="284"/>
        </w:tabs>
        <w:jc w:val="both"/>
        <w:rPr>
          <w:rFonts w:ascii="Book Antiqua" w:hAnsi="Book Antiqua" w:cs="Arial"/>
          <w:sz w:val="24"/>
        </w:rPr>
      </w:pPr>
    </w:p>
    <w:p w14:paraId="46E0A20B" w14:textId="77777777" w:rsidR="00661D1B" w:rsidRPr="00EA3C70" w:rsidRDefault="00204325" w:rsidP="00EA3C70">
      <w:pPr>
        <w:pStyle w:val="Nadpis1"/>
        <w:spacing w:before="0"/>
        <w:rPr>
          <w:rFonts w:ascii="Book Antiqua" w:hAnsi="Book Antiqua"/>
        </w:rPr>
      </w:pPr>
      <w:r w:rsidRPr="00EA3C70">
        <w:rPr>
          <w:rFonts w:ascii="Book Antiqua" w:hAnsi="Book Antiqua"/>
        </w:rPr>
        <w:t>struktura Soupis</w:t>
      </w:r>
      <w:r w:rsidR="00DD577C" w:rsidRPr="00EA3C70">
        <w:rPr>
          <w:rFonts w:ascii="Book Antiqua" w:hAnsi="Book Antiqua"/>
        </w:rPr>
        <w:t>u</w:t>
      </w:r>
      <w:r w:rsidRPr="00EA3C70">
        <w:rPr>
          <w:rFonts w:ascii="Book Antiqua" w:hAnsi="Book Antiqua"/>
        </w:rPr>
        <w:t xml:space="preserve"> </w:t>
      </w:r>
      <w:r w:rsidR="00DD577C" w:rsidRPr="00EA3C70">
        <w:rPr>
          <w:rFonts w:ascii="Book Antiqua" w:hAnsi="Book Antiqua"/>
        </w:rPr>
        <w:t>prací</w:t>
      </w:r>
    </w:p>
    <w:p w14:paraId="32B5478E" w14:textId="77777777" w:rsidR="001C116A" w:rsidRPr="00EA3C70" w:rsidRDefault="001C116A" w:rsidP="00EA3C70">
      <w:pPr>
        <w:jc w:val="both"/>
        <w:rPr>
          <w:rFonts w:ascii="Book Antiqua" w:hAnsi="Book Antiqua" w:cs="Arial"/>
          <w:sz w:val="24"/>
          <w:szCs w:val="24"/>
        </w:rPr>
      </w:pPr>
    </w:p>
    <w:p w14:paraId="6F86D7F8" w14:textId="77777777" w:rsidR="001C116A" w:rsidRPr="00EA3C70" w:rsidRDefault="00204325" w:rsidP="00EA3C70">
      <w:pPr>
        <w:pStyle w:val="Nadpis2"/>
        <w:spacing w:before="0"/>
        <w:rPr>
          <w:rFonts w:ascii="Book Antiqua" w:hAnsi="Book Antiqua"/>
        </w:rPr>
      </w:pPr>
      <w:r w:rsidRPr="00EA3C70">
        <w:rPr>
          <w:rFonts w:ascii="Book Antiqua" w:hAnsi="Book Antiqua"/>
        </w:rPr>
        <w:t xml:space="preserve">soupis </w:t>
      </w:r>
      <w:r w:rsidR="00F50371" w:rsidRPr="00EA3C70">
        <w:rPr>
          <w:rFonts w:ascii="Book Antiqua" w:hAnsi="Book Antiqua"/>
        </w:rPr>
        <w:t>stavebních prací</w:t>
      </w:r>
    </w:p>
    <w:p w14:paraId="23182694" w14:textId="77777777" w:rsidR="00E23DC4" w:rsidRPr="00EA3C70" w:rsidRDefault="00822F52" w:rsidP="00EA3C70">
      <w:pPr>
        <w:jc w:val="both"/>
        <w:rPr>
          <w:rFonts w:ascii="Book Antiqua" w:hAnsi="Book Antiqua" w:cs="Arial"/>
          <w:highlight w:val="yellow"/>
        </w:rPr>
      </w:pPr>
      <w:r w:rsidRPr="00EA3C70">
        <w:rPr>
          <w:rFonts w:ascii="Book Antiqua" w:hAnsi="Book Antiqua" w:cs="Arial"/>
        </w:rPr>
        <w:t xml:space="preserve">Zadávací dokumentace obsahuje v souladu s vyhláškou č. </w:t>
      </w:r>
      <w:r w:rsidR="00C24D50" w:rsidRPr="00EA3C70">
        <w:rPr>
          <w:rFonts w:ascii="Book Antiqua" w:hAnsi="Book Antiqua" w:cs="Arial"/>
        </w:rPr>
        <w:t>169</w:t>
      </w:r>
      <w:r w:rsidRPr="00EA3C70">
        <w:rPr>
          <w:rFonts w:ascii="Book Antiqua" w:hAnsi="Book Antiqua" w:cs="Arial"/>
        </w:rPr>
        <w:t>/201</w:t>
      </w:r>
      <w:r w:rsidR="00C24D50" w:rsidRPr="00EA3C70">
        <w:rPr>
          <w:rFonts w:ascii="Book Antiqua" w:hAnsi="Book Antiqua" w:cs="Arial"/>
        </w:rPr>
        <w:t>6</w:t>
      </w:r>
      <w:r w:rsidRPr="00EA3C70">
        <w:rPr>
          <w:rFonts w:ascii="Book Antiqua" w:hAnsi="Book Antiqua" w:cs="Arial"/>
        </w:rPr>
        <w:t xml:space="preserve"> Sb. </w:t>
      </w:r>
      <w:r w:rsidR="00204325" w:rsidRPr="00EA3C70">
        <w:rPr>
          <w:rFonts w:ascii="Book Antiqua" w:hAnsi="Book Antiqua" w:cs="Arial"/>
        </w:rPr>
        <w:t>soupis stavebních prací, dodávek a služeb (dále jen „soupis“)</w:t>
      </w:r>
      <w:r w:rsidR="00C95579" w:rsidRPr="00EA3C70">
        <w:rPr>
          <w:rFonts w:ascii="Book Antiqua" w:hAnsi="Book Antiqua" w:cs="Arial"/>
        </w:rPr>
        <w:t xml:space="preserve"> s výkazem výměr, který je závazný pro zpracování cenové nabídky </w:t>
      </w:r>
      <w:r w:rsidR="00DA0636" w:rsidRPr="00EA3C70">
        <w:rPr>
          <w:rFonts w:ascii="Book Antiqua" w:hAnsi="Book Antiqua" w:cs="Arial"/>
        </w:rPr>
        <w:t>účastníků zadávacího řízení</w:t>
      </w:r>
      <w:r w:rsidR="00C95579" w:rsidRPr="00EA3C70">
        <w:rPr>
          <w:rFonts w:ascii="Book Antiqua" w:hAnsi="Book Antiqua" w:cs="Arial"/>
        </w:rPr>
        <w:t xml:space="preserve">. </w:t>
      </w:r>
    </w:p>
    <w:p w14:paraId="708CBB61" w14:textId="77777777" w:rsidR="00F9324B" w:rsidRPr="00EA3C70" w:rsidRDefault="00F9324B" w:rsidP="00EA3C70">
      <w:pPr>
        <w:pStyle w:val="Prosttext"/>
        <w:rPr>
          <w:rFonts w:ascii="Book Antiqua" w:hAnsi="Book Antiqua" w:cs="Arial"/>
          <w:i/>
          <w:color w:val="FF0000"/>
          <w:sz w:val="24"/>
        </w:rPr>
      </w:pPr>
    </w:p>
    <w:p w14:paraId="61FD5A3E" w14:textId="77777777" w:rsidR="001C116A" w:rsidRPr="00EA3C70" w:rsidRDefault="00204325" w:rsidP="00EA3C70">
      <w:pPr>
        <w:pStyle w:val="Nadpis2"/>
        <w:spacing w:before="0"/>
        <w:rPr>
          <w:rFonts w:ascii="Book Antiqua" w:hAnsi="Book Antiqua"/>
        </w:rPr>
      </w:pPr>
      <w:r w:rsidRPr="00EA3C70">
        <w:rPr>
          <w:rFonts w:ascii="Book Antiqua" w:hAnsi="Book Antiqua"/>
        </w:rPr>
        <w:t>ve</w:t>
      </w:r>
      <w:r w:rsidR="00164778" w:rsidRPr="00EA3C70">
        <w:rPr>
          <w:rFonts w:ascii="Book Antiqua" w:hAnsi="Book Antiqua"/>
        </w:rPr>
        <w:t xml:space="preserve">dlejší </w:t>
      </w:r>
      <w:r w:rsidR="007F0DC3" w:rsidRPr="00EA3C70">
        <w:rPr>
          <w:rFonts w:ascii="Book Antiqua" w:hAnsi="Book Antiqua"/>
        </w:rPr>
        <w:t xml:space="preserve">a ostatní </w:t>
      </w:r>
      <w:r w:rsidR="00164778" w:rsidRPr="00EA3C70">
        <w:rPr>
          <w:rFonts w:ascii="Book Antiqua" w:hAnsi="Book Antiqua"/>
        </w:rPr>
        <w:t>náklady</w:t>
      </w:r>
    </w:p>
    <w:p w14:paraId="4F7BECD7" w14:textId="77777777" w:rsidR="005838D8" w:rsidRPr="00EA3C70" w:rsidRDefault="00F60482" w:rsidP="00EA3C70">
      <w:pPr>
        <w:jc w:val="both"/>
        <w:rPr>
          <w:rFonts w:ascii="Book Antiqua" w:hAnsi="Book Antiqua" w:cs="Arial"/>
        </w:rPr>
      </w:pPr>
      <w:r w:rsidRPr="00EA3C70">
        <w:rPr>
          <w:rFonts w:ascii="Book Antiqua" w:hAnsi="Book Antiqua" w:cs="Arial"/>
        </w:rPr>
        <w:t xml:space="preserve">V souvislosti s provedením stavby je povinností dodavatele provést nebo zabezpečit další související činnosti vyplývající z druhu a charakteru prováděné stavby, jejího umístění, specifických podmínek provádění a rovněž z obchodních podmínek stanovených zadavatelem.  </w:t>
      </w:r>
      <w:r w:rsidR="005838D8" w:rsidRPr="00EA3C70">
        <w:rPr>
          <w:rFonts w:ascii="Book Antiqua" w:hAnsi="Book Antiqua" w:cs="Arial"/>
        </w:rPr>
        <w:t>Platí, že každá, zadavatelem vymezená položka ostatních a vedlejších nákladů musí mít definovánu nabídkovou cenu</w:t>
      </w:r>
      <w:r w:rsidR="00A362FF" w:rsidRPr="00EA3C70">
        <w:rPr>
          <w:rFonts w:ascii="Book Antiqua" w:hAnsi="Book Antiqua" w:cs="Arial"/>
        </w:rPr>
        <w:t xml:space="preserve"> (není-li v soupisu uvedeno jinak)</w:t>
      </w:r>
      <w:r w:rsidR="005838D8" w:rsidRPr="00EA3C70">
        <w:rPr>
          <w:rFonts w:ascii="Book Antiqua" w:hAnsi="Book Antiqua" w:cs="Arial"/>
        </w:rPr>
        <w:t>, pokud dále není uvedeno jinak. Uvedení ceny pod hranicí ekonomicky nutných nákladů nebo hodnoty 0,- Kč, popřípadě neocenění některé soupisem pop</w:t>
      </w:r>
      <w:r w:rsidR="002100A5" w:rsidRPr="00EA3C70">
        <w:rPr>
          <w:rFonts w:ascii="Book Antiqua" w:hAnsi="Book Antiqua" w:cs="Arial"/>
        </w:rPr>
        <w:t>s</w:t>
      </w:r>
      <w:r w:rsidR="005838D8" w:rsidRPr="00EA3C70">
        <w:rPr>
          <w:rFonts w:ascii="Book Antiqua" w:hAnsi="Book Antiqua" w:cs="Arial"/>
        </w:rPr>
        <w:t>ané položky není přípustné.</w:t>
      </w:r>
    </w:p>
    <w:p w14:paraId="6039D8A8" w14:textId="77777777" w:rsidR="007F5728" w:rsidRPr="00EA3C70" w:rsidRDefault="007F5728" w:rsidP="00EA3C70">
      <w:pPr>
        <w:pStyle w:val="Prosttext"/>
        <w:rPr>
          <w:rFonts w:ascii="Book Antiqua" w:hAnsi="Book Antiqua" w:cs="Arial"/>
          <w:sz w:val="24"/>
        </w:rPr>
      </w:pPr>
    </w:p>
    <w:p w14:paraId="26399C18" w14:textId="77777777" w:rsidR="00266CBC" w:rsidRPr="00EA3C70" w:rsidRDefault="00266CBC" w:rsidP="00EA3C70">
      <w:pPr>
        <w:pStyle w:val="Nadpis2"/>
        <w:spacing w:before="0"/>
        <w:rPr>
          <w:rFonts w:ascii="Book Antiqua" w:hAnsi="Book Antiqua"/>
        </w:rPr>
      </w:pPr>
      <w:r w:rsidRPr="00EA3C70">
        <w:rPr>
          <w:rFonts w:ascii="Book Antiqua" w:hAnsi="Book Antiqua"/>
          <w:lang w:val="cs-CZ"/>
        </w:rPr>
        <w:t>pokyny projektanta k ocenění soupisu</w:t>
      </w:r>
    </w:p>
    <w:p w14:paraId="0B261040" w14:textId="2C230C91" w:rsidR="00266CBC" w:rsidRPr="00EA3C70" w:rsidRDefault="00266CBC" w:rsidP="00EA3C70">
      <w:pPr>
        <w:jc w:val="both"/>
        <w:rPr>
          <w:rFonts w:ascii="Book Antiqua" w:hAnsi="Book Antiqua" w:cs="Arial"/>
        </w:rPr>
      </w:pPr>
      <w:r w:rsidRPr="00EA3C70">
        <w:rPr>
          <w:rFonts w:ascii="Book Antiqua" w:hAnsi="Book Antiqua" w:cs="Arial"/>
        </w:rPr>
        <w:t xml:space="preserve">V případě, že projektová dokumentace nebo samotný soupis obsahuje specifické </w:t>
      </w:r>
      <w:r w:rsidR="00AC3A53" w:rsidRPr="00EA3C70">
        <w:rPr>
          <w:rFonts w:ascii="Book Antiqua" w:hAnsi="Book Antiqua" w:cs="Arial"/>
        </w:rPr>
        <w:t xml:space="preserve">informace a </w:t>
      </w:r>
      <w:r w:rsidRPr="00EA3C70">
        <w:rPr>
          <w:rFonts w:ascii="Book Antiqua" w:hAnsi="Book Antiqua" w:cs="Arial"/>
        </w:rPr>
        <w:t>pokyny projektanta k ocenění soupisu prací, je dodavatel povinen se těmito pokyny při zpracování své ceno</w:t>
      </w:r>
      <w:r w:rsidR="00AC3A53" w:rsidRPr="00EA3C70">
        <w:rPr>
          <w:rFonts w:ascii="Book Antiqua" w:hAnsi="Book Antiqua" w:cs="Arial"/>
        </w:rPr>
        <w:t>vé nabídky řídit pouze v případech</w:t>
      </w:r>
      <w:r w:rsidRPr="00EA3C70">
        <w:rPr>
          <w:rFonts w:ascii="Book Antiqua" w:hAnsi="Book Antiqua" w:cs="Arial"/>
        </w:rPr>
        <w:t xml:space="preserve">, </w:t>
      </w:r>
      <w:r w:rsidR="00AC3A53" w:rsidRPr="00EA3C70">
        <w:rPr>
          <w:rFonts w:ascii="Book Antiqua" w:hAnsi="Book Antiqua" w:cs="Arial"/>
        </w:rPr>
        <w:t>kdy</w:t>
      </w:r>
      <w:r w:rsidRPr="00EA3C70">
        <w:rPr>
          <w:rFonts w:ascii="Book Antiqua" w:hAnsi="Book Antiqua" w:cs="Arial"/>
        </w:rPr>
        <w:t xml:space="preserve"> takové pokyny nejsou v přímém rozporu s podmínkami uvedenými v</w:t>
      </w:r>
      <w:r w:rsidR="00EA3C70" w:rsidRPr="00EA3C70">
        <w:rPr>
          <w:rFonts w:ascii="Book Antiqua" w:hAnsi="Book Antiqua" w:cs="Arial"/>
        </w:rPr>
        <w:t> </w:t>
      </w:r>
      <w:r w:rsidRPr="00EA3C70">
        <w:rPr>
          <w:rFonts w:ascii="Book Antiqua" w:hAnsi="Book Antiqua" w:cs="Arial"/>
        </w:rPr>
        <w:t>t</w:t>
      </w:r>
      <w:r w:rsidR="00EA3C70" w:rsidRPr="00EA3C70">
        <w:rPr>
          <w:rFonts w:ascii="Book Antiqua" w:hAnsi="Book Antiqua" w:cs="Arial"/>
        </w:rPr>
        <w:t>éto příloze</w:t>
      </w:r>
      <w:r w:rsidRPr="00EA3C70">
        <w:rPr>
          <w:rFonts w:ascii="Book Antiqua" w:hAnsi="Book Antiqua" w:cs="Arial"/>
        </w:rPr>
        <w:t xml:space="preserve"> zadávací dokumentace</w:t>
      </w:r>
      <w:r w:rsidR="00A362FF" w:rsidRPr="00EA3C70">
        <w:rPr>
          <w:rFonts w:ascii="Book Antiqua" w:hAnsi="Book Antiqua" w:cs="Arial"/>
        </w:rPr>
        <w:t xml:space="preserve">. </w:t>
      </w:r>
      <w:r w:rsidR="00AC3A53" w:rsidRPr="00EA3C70">
        <w:rPr>
          <w:rFonts w:ascii="Book Antiqua" w:hAnsi="Book Antiqua" w:cs="Arial"/>
        </w:rPr>
        <w:t>Obdobně se dodavatel neřídí informacemi či pokyny projektanta, kterými by docházelo k přenášení odpovědnosti za úplnost a správnost projektové dokumentace (vč. soupis</w:t>
      </w:r>
      <w:r w:rsidR="00F55D35" w:rsidRPr="00EA3C70">
        <w:rPr>
          <w:rFonts w:ascii="Book Antiqua" w:hAnsi="Book Antiqua" w:cs="Arial"/>
        </w:rPr>
        <w:t>u</w:t>
      </w:r>
      <w:r w:rsidR="00AC3A53" w:rsidRPr="00EA3C70">
        <w:rPr>
          <w:rFonts w:ascii="Book Antiqua" w:hAnsi="Book Antiqua" w:cs="Arial"/>
        </w:rPr>
        <w:t>) na dodavatele.</w:t>
      </w:r>
    </w:p>
    <w:p w14:paraId="4E4A1E52" w14:textId="77777777" w:rsidR="009F0A87" w:rsidRPr="00EA3C70" w:rsidRDefault="009F0A87" w:rsidP="00EA3C70">
      <w:pPr>
        <w:jc w:val="both"/>
        <w:rPr>
          <w:rFonts w:ascii="Book Antiqua" w:hAnsi="Book Antiqua" w:cs="Arial"/>
        </w:rPr>
      </w:pPr>
      <w:r w:rsidRPr="00EA3C70">
        <w:rPr>
          <w:rFonts w:ascii="Book Antiqua" w:hAnsi="Book Antiqua" w:cs="Arial"/>
        </w:rPr>
        <w:t>Výjimkou jsou případy, kdy projektant v projektové dokumentaci či soupisu jednoznačně stanoví, že některá položka není předmětem zakázky, v takovém případě se dodavatel řídí tímto pokynem projektanta a položka se neoceňuje.</w:t>
      </w:r>
    </w:p>
    <w:p w14:paraId="0C7A1D0A" w14:textId="77777777" w:rsidR="007357E6" w:rsidRPr="00EA3C70" w:rsidRDefault="007357E6" w:rsidP="00EA3C70">
      <w:pPr>
        <w:jc w:val="both"/>
        <w:rPr>
          <w:rFonts w:ascii="Book Antiqua" w:hAnsi="Book Antiqua" w:cs="Arial"/>
        </w:rPr>
      </w:pPr>
    </w:p>
    <w:p w14:paraId="43B8B5AA" w14:textId="77777777" w:rsidR="00266CBC" w:rsidRPr="00EA3C70" w:rsidRDefault="00266CBC" w:rsidP="00EA3C70">
      <w:pPr>
        <w:pStyle w:val="Nadpis2"/>
        <w:spacing w:before="0"/>
        <w:rPr>
          <w:rFonts w:ascii="Book Antiqua" w:hAnsi="Book Antiqua"/>
        </w:rPr>
      </w:pPr>
      <w:bookmarkStart w:id="0" w:name="_Hlk132613802"/>
      <w:r w:rsidRPr="00EA3C70">
        <w:rPr>
          <w:rFonts w:ascii="Book Antiqua" w:hAnsi="Book Antiqua"/>
          <w:lang w:val="cs-CZ"/>
        </w:rPr>
        <w:t>přidružené náklady</w:t>
      </w:r>
    </w:p>
    <w:p w14:paraId="201E1AF8" w14:textId="324CC85A" w:rsidR="00266CBC" w:rsidRPr="00EA3C70" w:rsidRDefault="00266CBC" w:rsidP="00EA3C70">
      <w:pPr>
        <w:jc w:val="both"/>
        <w:rPr>
          <w:rFonts w:ascii="Book Antiqua" w:hAnsi="Book Antiqua" w:cs="Arial"/>
        </w:rPr>
      </w:pPr>
      <w:bookmarkStart w:id="1" w:name="_Hlk132613795"/>
      <w:bookmarkEnd w:id="0"/>
      <w:r w:rsidRPr="00EA3C70">
        <w:rPr>
          <w:rFonts w:ascii="Book Antiqua" w:hAnsi="Book Antiqua" w:cs="Arial"/>
        </w:rPr>
        <w:t xml:space="preserve">Veškeré související přidružené náklady, jako je doprava, přesun, PPV, podružný materiál atd., a to zejména u jednotlivých profesí, budou součástí jednotkových cen daných položek soupisu prací, pokud není v soupisu uvedeno jinak (tj. nemají např. samostatné položky). Bližší informace jsou uvedeny v bodě </w:t>
      </w:r>
      <w:r w:rsidR="00903B88" w:rsidRPr="00EA3C70">
        <w:rPr>
          <w:rFonts w:ascii="Book Antiqua" w:hAnsi="Book Antiqua" w:cs="Arial"/>
        </w:rPr>
        <w:t>5</w:t>
      </w:r>
      <w:r w:rsidRPr="00EA3C70">
        <w:rPr>
          <w:rFonts w:ascii="Book Antiqua" w:hAnsi="Book Antiqua" w:cs="Arial"/>
        </w:rPr>
        <w:t>.4.3. t</w:t>
      </w:r>
      <w:r w:rsidR="00EA3C70" w:rsidRPr="00EA3C70">
        <w:rPr>
          <w:rFonts w:ascii="Book Antiqua" w:hAnsi="Book Antiqua" w:cs="Arial"/>
        </w:rPr>
        <w:t>éto přílohy</w:t>
      </w:r>
      <w:r w:rsidRPr="00EA3C70">
        <w:rPr>
          <w:rFonts w:ascii="Book Antiqua" w:hAnsi="Book Antiqua" w:cs="Arial"/>
        </w:rPr>
        <w:t xml:space="preserve"> zadávací dokumentace.</w:t>
      </w:r>
    </w:p>
    <w:bookmarkEnd w:id="1"/>
    <w:p w14:paraId="3DFD5843" w14:textId="77777777" w:rsidR="00D20FCD" w:rsidRPr="00EA3C70" w:rsidRDefault="00D20FCD" w:rsidP="00EA3C70">
      <w:pPr>
        <w:jc w:val="both"/>
        <w:rPr>
          <w:rFonts w:ascii="Book Antiqua" w:hAnsi="Book Antiqua" w:cs="Arial"/>
        </w:rPr>
      </w:pPr>
    </w:p>
    <w:p w14:paraId="3B2FD6B6" w14:textId="77777777" w:rsidR="00DF3F15" w:rsidRDefault="00DF3F15" w:rsidP="00EA3C70">
      <w:pPr>
        <w:jc w:val="both"/>
        <w:rPr>
          <w:rFonts w:ascii="Book Antiqua" w:hAnsi="Book Antiqua" w:cs="Arial"/>
        </w:rPr>
      </w:pPr>
    </w:p>
    <w:p w14:paraId="4A164802" w14:textId="77777777" w:rsidR="003E76FA" w:rsidRPr="00EA3C70" w:rsidRDefault="003E76FA" w:rsidP="00EA3C70">
      <w:pPr>
        <w:jc w:val="both"/>
        <w:rPr>
          <w:rFonts w:ascii="Book Antiqua" w:hAnsi="Book Antiqua" w:cs="Arial"/>
        </w:rPr>
      </w:pPr>
    </w:p>
    <w:p w14:paraId="354CCBD3" w14:textId="77777777" w:rsidR="00661D1B" w:rsidRPr="00EA3C70" w:rsidRDefault="00B02112" w:rsidP="00EA3C70">
      <w:pPr>
        <w:pStyle w:val="Nadpis1"/>
        <w:spacing w:before="0"/>
        <w:rPr>
          <w:rFonts w:ascii="Book Antiqua" w:hAnsi="Book Antiqua"/>
        </w:rPr>
      </w:pPr>
      <w:r w:rsidRPr="00EA3C70">
        <w:rPr>
          <w:rFonts w:ascii="Book Antiqua" w:hAnsi="Book Antiqua"/>
        </w:rPr>
        <w:lastRenderedPageBreak/>
        <w:t>Cenová soustava</w:t>
      </w:r>
    </w:p>
    <w:p w14:paraId="5E3430F9" w14:textId="77777777" w:rsidR="00661D1B" w:rsidRPr="00EA3C70" w:rsidRDefault="00661D1B" w:rsidP="00EA3C70">
      <w:pPr>
        <w:rPr>
          <w:rFonts w:ascii="Book Antiqua" w:hAnsi="Book Antiqua"/>
        </w:rPr>
      </w:pPr>
    </w:p>
    <w:p w14:paraId="134799B3" w14:textId="77777777" w:rsidR="007C31D8" w:rsidRPr="00EA3C70" w:rsidRDefault="00BB18E2" w:rsidP="00EA3C70">
      <w:pPr>
        <w:pStyle w:val="Nadpis2"/>
        <w:spacing w:before="0"/>
        <w:rPr>
          <w:rFonts w:ascii="Book Antiqua" w:hAnsi="Book Antiqua"/>
        </w:rPr>
      </w:pPr>
      <w:r w:rsidRPr="00EA3C70">
        <w:rPr>
          <w:rFonts w:ascii="Book Antiqua" w:hAnsi="Book Antiqua"/>
          <w:lang w:val="cs-CZ"/>
        </w:rPr>
        <w:t xml:space="preserve">Položky soupisu </w:t>
      </w:r>
    </w:p>
    <w:p w14:paraId="3CE02851" w14:textId="77777777" w:rsidR="007C31D8" w:rsidRPr="00EA3C70" w:rsidRDefault="007C31D8" w:rsidP="00EA3C70">
      <w:pPr>
        <w:tabs>
          <w:tab w:val="left" w:pos="0"/>
        </w:tabs>
        <w:jc w:val="both"/>
        <w:rPr>
          <w:rFonts w:ascii="Book Antiqua" w:hAnsi="Book Antiqua" w:cs="Arial"/>
        </w:rPr>
      </w:pPr>
      <w:r w:rsidRPr="00EA3C70">
        <w:rPr>
          <w:rFonts w:ascii="Book Antiqua" w:hAnsi="Book Antiqua" w:cs="Arial"/>
        </w:rPr>
        <w:t xml:space="preserve">Soupis stavebních prací, dodávek a služeb je zpracován kombinací položek dle cenové soustavy a položek individuálních. </w:t>
      </w:r>
    </w:p>
    <w:p w14:paraId="7E777F6B" w14:textId="77777777" w:rsidR="007C31D8" w:rsidRPr="00EA3C70" w:rsidRDefault="007C31D8" w:rsidP="00EA3C70">
      <w:pPr>
        <w:jc w:val="both"/>
        <w:rPr>
          <w:rFonts w:ascii="Book Antiqua" w:hAnsi="Book Antiqua"/>
          <w:color w:val="FF6600"/>
          <w:sz w:val="22"/>
          <w:szCs w:val="22"/>
        </w:rPr>
      </w:pPr>
    </w:p>
    <w:p w14:paraId="49601D76" w14:textId="77777777" w:rsidR="007C31D8" w:rsidRPr="00EA3C70" w:rsidRDefault="007C31D8" w:rsidP="00EA3C70">
      <w:pPr>
        <w:pStyle w:val="Nadpis2"/>
        <w:spacing w:before="0"/>
        <w:rPr>
          <w:rFonts w:ascii="Book Antiqua" w:hAnsi="Book Antiqua"/>
        </w:rPr>
      </w:pPr>
      <w:r w:rsidRPr="00EA3C70">
        <w:rPr>
          <w:rFonts w:ascii="Book Antiqua" w:hAnsi="Book Antiqua"/>
        </w:rPr>
        <w:t xml:space="preserve">technické a kvalitativní podmínky </w:t>
      </w:r>
      <w:r w:rsidR="00665C62" w:rsidRPr="00EA3C70">
        <w:rPr>
          <w:rFonts w:ascii="Book Antiqua" w:hAnsi="Book Antiqua"/>
          <w:lang w:val="cs-CZ"/>
        </w:rPr>
        <w:t xml:space="preserve">položek </w:t>
      </w:r>
      <w:r w:rsidR="00DA7328" w:rsidRPr="00EA3C70">
        <w:rPr>
          <w:rFonts w:ascii="Book Antiqua" w:hAnsi="Book Antiqua"/>
          <w:lang w:val="cs-CZ"/>
        </w:rPr>
        <w:t xml:space="preserve">dle </w:t>
      </w:r>
      <w:r w:rsidR="00665C62" w:rsidRPr="00EA3C70">
        <w:rPr>
          <w:rFonts w:ascii="Book Antiqua" w:hAnsi="Book Antiqua"/>
          <w:lang w:val="cs-CZ"/>
        </w:rPr>
        <w:t>cenové soustavy</w:t>
      </w:r>
    </w:p>
    <w:p w14:paraId="07571FCC" w14:textId="77777777" w:rsidR="007C31D8" w:rsidRPr="00EA3C70" w:rsidRDefault="007C31D8" w:rsidP="00EA3C70">
      <w:pPr>
        <w:tabs>
          <w:tab w:val="left" w:pos="0"/>
        </w:tabs>
        <w:jc w:val="both"/>
        <w:rPr>
          <w:rFonts w:ascii="Book Antiqua" w:hAnsi="Book Antiqua" w:cs="Arial"/>
        </w:rPr>
      </w:pPr>
      <w:r w:rsidRPr="00EA3C70">
        <w:rPr>
          <w:rFonts w:ascii="Book Antiqua" w:hAnsi="Book Antiqua" w:cs="Arial"/>
        </w:rPr>
        <w:t xml:space="preserve">Obsah jednotlivých položek dle cenové soustavy, způsob měření a ostatní další podmínky definující obsah a použití jednotlivých položek jsou obsaženy v úvodních ustanoveních příslušných sborníků (viz zařazení u položky), které jsou volně dostupné na elektronické adrese </w:t>
      </w:r>
      <w:hyperlink r:id="rId8" w:history="1">
        <w:r w:rsidRPr="00EA3C70">
          <w:rPr>
            <w:rStyle w:val="Hypertextovodkaz"/>
            <w:rFonts w:ascii="Book Antiqua" w:hAnsi="Book Antiqua" w:cs="Arial"/>
          </w:rPr>
          <w:t>www.cenovasoustava.cz</w:t>
        </w:r>
      </w:hyperlink>
      <w:r w:rsidR="00B544B4" w:rsidRPr="00EA3C70">
        <w:rPr>
          <w:rFonts w:ascii="Book Antiqua" w:hAnsi="Book Antiqua" w:cs="Arial"/>
        </w:rPr>
        <w:t xml:space="preserve">, </w:t>
      </w:r>
      <w:r w:rsidRPr="00EA3C70">
        <w:rPr>
          <w:rFonts w:ascii="Book Antiqua" w:hAnsi="Book Antiqua" w:cs="Arial"/>
        </w:rPr>
        <w:t xml:space="preserve">resp. </w:t>
      </w:r>
      <w:hyperlink r:id="rId9" w:history="1">
        <w:r w:rsidR="001906E5" w:rsidRPr="00EA3C70">
          <w:rPr>
            <w:rStyle w:val="Hypertextovodkaz"/>
            <w:rFonts w:ascii="Book Antiqua" w:hAnsi="Book Antiqua" w:cs="Arial"/>
          </w:rPr>
          <w:t>https://www.urs.cz/</w:t>
        </w:r>
      </w:hyperlink>
      <w:r w:rsidRPr="00EA3C70">
        <w:rPr>
          <w:rFonts w:ascii="Book Antiqua" w:hAnsi="Book Antiqua" w:cs="Arial"/>
        </w:rPr>
        <w:t xml:space="preserve"> nebo </w:t>
      </w:r>
      <w:hyperlink r:id="rId10" w:history="1">
        <w:r w:rsidRPr="00EA3C70">
          <w:rPr>
            <w:rStyle w:val="Hypertextovodkaz"/>
            <w:rFonts w:ascii="Book Antiqua" w:hAnsi="Book Antiqua" w:cs="Arial"/>
          </w:rPr>
          <w:t>http://www.tridniky.cz</w:t>
        </w:r>
      </w:hyperlink>
      <w:r w:rsidRPr="00EA3C70">
        <w:rPr>
          <w:rFonts w:ascii="Book Antiqua" w:hAnsi="Book Antiqua" w:cs="Arial"/>
        </w:rPr>
        <w:t xml:space="preserve">. </w:t>
      </w:r>
      <w:r w:rsidR="00B101CF" w:rsidRPr="00EA3C70">
        <w:rPr>
          <w:rFonts w:ascii="Book Antiqua" w:hAnsi="Book Antiqua" w:cs="Arial"/>
        </w:rPr>
        <w:t xml:space="preserve">Obsah položky dle cenové soustavy může být upraven, pokud tak její popis v soupisu jednoznačně stanoví. </w:t>
      </w:r>
      <w:r w:rsidRPr="00EA3C70">
        <w:rPr>
          <w:rFonts w:ascii="Book Antiqua" w:hAnsi="Book Antiqua" w:cs="Arial"/>
        </w:rPr>
        <w:t xml:space="preserve">  </w:t>
      </w:r>
    </w:p>
    <w:p w14:paraId="346B861D" w14:textId="77777777" w:rsidR="007C31D8" w:rsidRPr="00EA3C70" w:rsidRDefault="007C31D8" w:rsidP="00EA3C70">
      <w:pPr>
        <w:ind w:firstLine="720"/>
        <w:rPr>
          <w:rFonts w:ascii="Book Antiqua" w:hAnsi="Book Antiqua" w:cs="Arial"/>
          <w:sz w:val="24"/>
        </w:rPr>
      </w:pPr>
    </w:p>
    <w:p w14:paraId="1C04D86F" w14:textId="77777777" w:rsidR="007C31D8" w:rsidRPr="00EA3C70" w:rsidRDefault="007C31D8" w:rsidP="00EA3C70">
      <w:pPr>
        <w:pStyle w:val="Nadpis2"/>
        <w:spacing w:before="0"/>
        <w:rPr>
          <w:rFonts w:ascii="Book Antiqua" w:hAnsi="Book Antiqua"/>
        </w:rPr>
      </w:pPr>
      <w:r w:rsidRPr="00EA3C70">
        <w:rPr>
          <w:rFonts w:ascii="Book Antiqua" w:hAnsi="Book Antiqua"/>
        </w:rPr>
        <w:t>technické a kvalitativní podmínky individuálních položek</w:t>
      </w:r>
    </w:p>
    <w:p w14:paraId="00EFE242" w14:textId="77777777" w:rsidR="007C31D8" w:rsidRPr="00EA3C70" w:rsidRDefault="007C31D8" w:rsidP="00EA3C70">
      <w:pPr>
        <w:jc w:val="both"/>
        <w:rPr>
          <w:rFonts w:ascii="Book Antiqua" w:hAnsi="Book Antiqua" w:cs="Arial"/>
        </w:rPr>
      </w:pPr>
      <w:r w:rsidRPr="00EA3C70">
        <w:rPr>
          <w:rFonts w:ascii="Book Antiqua" w:hAnsi="Book Antiqua" w:cs="Arial"/>
        </w:rPr>
        <w:t>Pokud je v soupise použita individuální položka (tedy položk</w:t>
      </w:r>
      <w:r w:rsidR="00CB5146" w:rsidRPr="00EA3C70">
        <w:rPr>
          <w:rFonts w:ascii="Book Antiqua" w:hAnsi="Book Antiqua" w:cs="Arial"/>
        </w:rPr>
        <w:t>a</w:t>
      </w:r>
      <w:r w:rsidRPr="00EA3C70">
        <w:rPr>
          <w:rFonts w:ascii="Book Antiqua" w:hAnsi="Book Antiqua" w:cs="Arial"/>
        </w:rPr>
        <w:t xml:space="preserve"> neobsažen</w:t>
      </w:r>
      <w:r w:rsidR="00CB5146" w:rsidRPr="00EA3C70">
        <w:rPr>
          <w:rFonts w:ascii="Book Antiqua" w:hAnsi="Book Antiqua" w:cs="Arial"/>
        </w:rPr>
        <w:t>á</w:t>
      </w:r>
      <w:r w:rsidRPr="00EA3C70">
        <w:rPr>
          <w:rFonts w:ascii="Book Antiqua" w:hAnsi="Book Antiqua" w:cs="Arial"/>
        </w:rPr>
        <w:t xml:space="preserve"> v cenové soustavě), pak její technické a kvalitativní podmínk</w:t>
      </w:r>
      <w:r w:rsidR="00DA7328" w:rsidRPr="00EA3C70">
        <w:rPr>
          <w:rFonts w:ascii="Book Antiqua" w:hAnsi="Book Antiqua" w:cs="Arial"/>
        </w:rPr>
        <w:t>y jsou definovány jejím popisem, doplněným případně informacemi v projektové dokumentaci.</w:t>
      </w:r>
    </w:p>
    <w:p w14:paraId="0DC7BFD8" w14:textId="77777777" w:rsidR="00D20FCD" w:rsidRDefault="00D20FCD" w:rsidP="00EA3C70">
      <w:pPr>
        <w:jc w:val="both"/>
        <w:rPr>
          <w:rFonts w:ascii="Book Antiqua" w:hAnsi="Book Antiqua" w:cs="Arial"/>
        </w:rPr>
      </w:pPr>
    </w:p>
    <w:p w14:paraId="385C4C0C" w14:textId="77777777" w:rsidR="003E76FA" w:rsidRPr="00EA3C70" w:rsidRDefault="003E76FA" w:rsidP="00EA3C70">
      <w:pPr>
        <w:jc w:val="both"/>
        <w:rPr>
          <w:rFonts w:ascii="Book Antiqua" w:hAnsi="Book Antiqua" w:cs="Arial"/>
        </w:rPr>
      </w:pPr>
    </w:p>
    <w:p w14:paraId="431767FC" w14:textId="77777777" w:rsidR="00661D1B" w:rsidRPr="00EA3C70" w:rsidRDefault="00863A45" w:rsidP="00EA3C70">
      <w:pPr>
        <w:pStyle w:val="Nadpis1"/>
        <w:spacing w:before="0"/>
        <w:rPr>
          <w:rFonts w:ascii="Book Antiqua" w:hAnsi="Book Antiqua"/>
        </w:rPr>
      </w:pPr>
      <w:r w:rsidRPr="00EA3C70">
        <w:rPr>
          <w:rFonts w:ascii="Book Antiqua" w:hAnsi="Book Antiqua"/>
        </w:rPr>
        <w:t>závaznost a změna soupisu</w:t>
      </w:r>
    </w:p>
    <w:p w14:paraId="73FCFB75" w14:textId="77777777" w:rsidR="00661D1B" w:rsidRPr="00EA3C70" w:rsidRDefault="00661D1B" w:rsidP="00EA3C70">
      <w:pPr>
        <w:rPr>
          <w:rFonts w:ascii="Book Antiqua" w:hAnsi="Book Antiqua"/>
        </w:rPr>
      </w:pPr>
    </w:p>
    <w:p w14:paraId="4B47B5FC" w14:textId="77777777" w:rsidR="00661D1B" w:rsidRPr="00EA3C70" w:rsidRDefault="00863A45" w:rsidP="00EA3C70">
      <w:pPr>
        <w:pStyle w:val="Nadpis2"/>
        <w:spacing w:before="0"/>
        <w:rPr>
          <w:rFonts w:ascii="Book Antiqua" w:hAnsi="Book Antiqua"/>
        </w:rPr>
      </w:pPr>
      <w:r w:rsidRPr="00EA3C70">
        <w:rPr>
          <w:rFonts w:ascii="Book Antiqua" w:hAnsi="Book Antiqua"/>
        </w:rPr>
        <w:t>závaznost soupisu</w:t>
      </w:r>
    </w:p>
    <w:p w14:paraId="191D4F67" w14:textId="77777777" w:rsidR="00661D1B" w:rsidRPr="00EA3C70" w:rsidRDefault="002F01A7" w:rsidP="00EA3C70">
      <w:pPr>
        <w:jc w:val="both"/>
        <w:rPr>
          <w:rFonts w:ascii="Book Antiqua" w:hAnsi="Book Antiqua" w:cs="Arial"/>
        </w:rPr>
      </w:pPr>
      <w:r w:rsidRPr="00EA3C70">
        <w:rPr>
          <w:rFonts w:ascii="Book Antiqua" w:hAnsi="Book Antiqua" w:cs="Arial"/>
        </w:rPr>
        <w:t>Zadavatelem poskytnutý soupis</w:t>
      </w:r>
      <w:r w:rsidR="00740508" w:rsidRPr="00EA3C70">
        <w:rPr>
          <w:rFonts w:ascii="Book Antiqua" w:hAnsi="Book Antiqua" w:cs="Arial"/>
        </w:rPr>
        <w:t xml:space="preserve"> j</w:t>
      </w:r>
      <w:r w:rsidRPr="00EA3C70">
        <w:rPr>
          <w:rFonts w:ascii="Book Antiqua" w:hAnsi="Book Antiqua" w:cs="Arial"/>
        </w:rPr>
        <w:t>e</w:t>
      </w:r>
      <w:r w:rsidR="00740508" w:rsidRPr="00EA3C70">
        <w:rPr>
          <w:rFonts w:ascii="Book Antiqua" w:hAnsi="Book Antiqua" w:cs="Arial"/>
        </w:rPr>
        <w:t xml:space="preserve"> pro zpracování nabídkové ceny závazn</w:t>
      </w:r>
      <w:r w:rsidRPr="00EA3C70">
        <w:rPr>
          <w:rFonts w:ascii="Book Antiqua" w:hAnsi="Book Antiqua" w:cs="Arial"/>
        </w:rPr>
        <w:t>ý</w:t>
      </w:r>
      <w:r w:rsidR="00530D2D" w:rsidRPr="00EA3C70">
        <w:rPr>
          <w:rFonts w:ascii="Book Antiqua" w:hAnsi="Book Antiqua" w:cs="Arial"/>
        </w:rPr>
        <w:t xml:space="preserve">. Je vyloučeno jakékoliv vyřazení položek ze soupisu, doplnění položek do soupisu, jakýkoliv zásah do popisu položky, změna množství nebo jakéhokoliv jiného údaje v soupisu, pokud není dále v těchto podmínkách uvedeno </w:t>
      </w:r>
      <w:r w:rsidR="006A7AB4" w:rsidRPr="00EA3C70">
        <w:rPr>
          <w:rFonts w:ascii="Book Antiqua" w:hAnsi="Book Antiqua" w:cs="Arial"/>
        </w:rPr>
        <w:t>jinak</w:t>
      </w:r>
      <w:r w:rsidR="00530D2D" w:rsidRPr="00EA3C70">
        <w:rPr>
          <w:rFonts w:ascii="Book Antiqua" w:hAnsi="Book Antiqua" w:cs="Arial"/>
        </w:rPr>
        <w:t>.</w:t>
      </w:r>
    </w:p>
    <w:p w14:paraId="147BE781" w14:textId="77777777" w:rsidR="00740508" w:rsidRPr="00EA3C70" w:rsidRDefault="00740508" w:rsidP="00EA3C70">
      <w:pPr>
        <w:rPr>
          <w:rFonts w:ascii="Book Antiqua" w:hAnsi="Book Antiqua" w:cs="Arial"/>
          <w:sz w:val="24"/>
        </w:rPr>
      </w:pPr>
    </w:p>
    <w:p w14:paraId="706D0578" w14:textId="77777777" w:rsidR="00661D1B" w:rsidRPr="00EA3C70" w:rsidRDefault="00530D2D" w:rsidP="00EA3C70">
      <w:pPr>
        <w:pStyle w:val="Nadpis2"/>
        <w:spacing w:before="0"/>
        <w:rPr>
          <w:rFonts w:ascii="Book Antiqua" w:hAnsi="Book Antiqua"/>
        </w:rPr>
      </w:pPr>
      <w:r w:rsidRPr="00EA3C70">
        <w:rPr>
          <w:rFonts w:ascii="Book Antiqua" w:hAnsi="Book Antiqua"/>
        </w:rPr>
        <w:t>Kontrola soupisu</w:t>
      </w:r>
    </w:p>
    <w:p w14:paraId="2177C2FC" w14:textId="77777777" w:rsidR="00530D2D" w:rsidRPr="00EA3C70" w:rsidRDefault="00530D2D" w:rsidP="00EA3C70">
      <w:pPr>
        <w:jc w:val="both"/>
        <w:rPr>
          <w:rFonts w:ascii="Book Antiqua" w:hAnsi="Book Antiqua" w:cs="Arial"/>
        </w:rPr>
      </w:pPr>
      <w:r w:rsidRPr="00EA3C70">
        <w:rPr>
          <w:rFonts w:ascii="Book Antiqua" w:hAnsi="Book Antiqua" w:cs="Arial"/>
        </w:rPr>
        <w:t>Zadavatel si je vědom své zákonné odpovědnosti za správnost a úplnost zadávací dokumentace. Přesto, s ohledem na reálný stav a složitost zpracování soupisu doporučuje dodavatelům, aby při zpracování nabídkové ceny prováděli přiměřenou kontrolu soupisu, zda odpovídá ostatním částem zadávací dokumentace. Jakékoliv zjištěné nejasnosti, chyby či doplnění si vyjasnili ještě před podáním nabídky.</w:t>
      </w:r>
    </w:p>
    <w:p w14:paraId="0A7FF0BA" w14:textId="77777777" w:rsidR="009568D7" w:rsidRPr="00EA3C70" w:rsidRDefault="009568D7" w:rsidP="00EA3C70">
      <w:pPr>
        <w:ind w:firstLine="720"/>
        <w:rPr>
          <w:rFonts w:ascii="Book Antiqua" w:hAnsi="Book Antiqua" w:cs="Arial"/>
          <w:sz w:val="24"/>
        </w:rPr>
      </w:pPr>
    </w:p>
    <w:p w14:paraId="6942C55E" w14:textId="77777777" w:rsidR="00661D1B" w:rsidRPr="00EA3C70" w:rsidRDefault="00530D2D" w:rsidP="00EA3C70">
      <w:pPr>
        <w:pStyle w:val="Nadpis2"/>
        <w:spacing w:before="0"/>
        <w:rPr>
          <w:rFonts w:ascii="Book Antiqua" w:hAnsi="Book Antiqua"/>
        </w:rPr>
      </w:pPr>
      <w:r w:rsidRPr="00EA3C70">
        <w:rPr>
          <w:rFonts w:ascii="Book Antiqua" w:hAnsi="Book Antiqua"/>
        </w:rPr>
        <w:t>Změna soupisu v průběhu lhůty pro podání nabídek</w:t>
      </w:r>
    </w:p>
    <w:p w14:paraId="419A9106" w14:textId="77777777" w:rsidR="006B30FF" w:rsidRPr="00EA3C70" w:rsidRDefault="006B30FF" w:rsidP="00EA3C70">
      <w:pPr>
        <w:jc w:val="both"/>
        <w:rPr>
          <w:rFonts w:ascii="Book Antiqua" w:hAnsi="Book Antiqua" w:cs="Arial"/>
        </w:rPr>
      </w:pPr>
      <w:r w:rsidRPr="00EA3C70">
        <w:rPr>
          <w:rFonts w:ascii="Book Antiqua" w:hAnsi="Book Antiqua" w:cs="Arial"/>
        </w:rPr>
        <w:t xml:space="preserve">Pokud v důsledku žádostí dodavatelů o vysvětlení zadávací dokumentace k soupisu dojde </w:t>
      </w:r>
      <w:r w:rsidRPr="00EA3C70">
        <w:rPr>
          <w:rFonts w:ascii="Book Antiqua" w:hAnsi="Book Antiqua" w:cs="Arial"/>
        </w:rPr>
        <w:br/>
        <w:t xml:space="preserve">k jakékoliv změně předaného soupisu, pak zadavatel předloží opětovně celý nový soupis (nebo jeho část), popřípadě vydá pokyn k opravě. Tento nově předaný soupis nahrazuje v plném rozsahu původně předaný. Dodavatel je pak povinen pro zpracování nabídkové ceny použít tento nově předaný nebo upravený soupis. </w:t>
      </w:r>
    </w:p>
    <w:p w14:paraId="61BA5FE8" w14:textId="77777777" w:rsidR="006B30FF" w:rsidRPr="00EA3C70" w:rsidRDefault="006B30FF" w:rsidP="00EA3C70">
      <w:pPr>
        <w:jc w:val="both"/>
        <w:rPr>
          <w:rFonts w:ascii="Book Antiqua" w:hAnsi="Book Antiqua" w:cs="Arial"/>
        </w:rPr>
      </w:pPr>
      <w:r w:rsidRPr="00EA3C70">
        <w:rPr>
          <w:rFonts w:ascii="Book Antiqua" w:hAnsi="Book Antiqua" w:cs="Arial"/>
        </w:rPr>
        <w:t xml:space="preserve">Pro poskytování vysvětlení zadávací dokumentace (k soupisu) platí v celém rozsahu zákonná ustanovení (lhůty a forma) vztahující se k vysvětlení zadávací dokumentace. Shodný postup platí </w:t>
      </w:r>
      <w:r w:rsidRPr="00EA3C70">
        <w:rPr>
          <w:rFonts w:ascii="Book Antiqua" w:hAnsi="Book Antiqua" w:cs="Arial"/>
        </w:rPr>
        <w:br/>
        <w:t>i v případě, že vysvětlení zadávací dokumentace (k soupisu) poskytne zadavatel z vlastního podnětu.</w:t>
      </w:r>
    </w:p>
    <w:p w14:paraId="45FE211F" w14:textId="77777777" w:rsidR="006B30FF" w:rsidRPr="00EA3C70" w:rsidRDefault="006B30FF" w:rsidP="00EA3C70">
      <w:pPr>
        <w:ind w:firstLine="720"/>
        <w:rPr>
          <w:rFonts w:ascii="Book Antiqua" w:hAnsi="Book Antiqua" w:cs="Arial"/>
        </w:rPr>
      </w:pPr>
    </w:p>
    <w:p w14:paraId="414973EF" w14:textId="77777777" w:rsidR="008A78C4" w:rsidRPr="00EA3C70" w:rsidRDefault="008A78C4" w:rsidP="00EA3C70">
      <w:pPr>
        <w:pStyle w:val="Nadpis2"/>
        <w:spacing w:before="0"/>
        <w:rPr>
          <w:rFonts w:ascii="Book Antiqua" w:hAnsi="Book Antiqua"/>
        </w:rPr>
      </w:pPr>
      <w:r w:rsidRPr="00EA3C70">
        <w:rPr>
          <w:rFonts w:ascii="Book Antiqua" w:hAnsi="Book Antiqua"/>
        </w:rPr>
        <w:t xml:space="preserve">Obchodní názvy obsažené v soupisech stavebních prací, dodávek a služeb </w:t>
      </w:r>
    </w:p>
    <w:p w14:paraId="39F17137" w14:textId="77777777" w:rsidR="006B30FF" w:rsidRPr="00EA3C70" w:rsidRDefault="006B30FF" w:rsidP="00EA3C70">
      <w:pPr>
        <w:jc w:val="both"/>
        <w:rPr>
          <w:rFonts w:ascii="Book Antiqua" w:hAnsi="Book Antiqua" w:cs="Arial"/>
        </w:rPr>
      </w:pPr>
      <w:r w:rsidRPr="00EA3C70">
        <w:rPr>
          <w:rFonts w:ascii="Book Antiqua" w:hAnsi="Book Antiqua" w:cs="Arial"/>
        </w:rPr>
        <w:t xml:space="preserve">Pokud ve specifických případech technické podmínky (soupis) stanovují prostřednictvím přímého nebo nepřímého odkazu odkaz na určité dodavatele nebo výrobky, nebo patenty na vynálezy, užitné vzory, průmyslové vzory, ochranné známky nebo označení původu, umožňuje zadavatel u </w:t>
      </w:r>
      <w:r w:rsidRPr="00EA3C70">
        <w:rPr>
          <w:rFonts w:ascii="Book Antiqua" w:hAnsi="Book Antiqua" w:cs="Arial"/>
        </w:rPr>
        <w:lastRenderedPageBreak/>
        <w:t>každého takového odkazu možnost nabídnout rovnocenné řešení. Zadavatel pečlivě prověřil předaný soupis stavebních prací, dodávek a služeb a domnívá se, že neobsahuje žádná konkrétní obchodní jména výrobků nebo výrobců. Přesto, pokud by se takovýto odkaz výjimečně i přes kontrolu zadavatele v soupisu vyskytl, připouští zadavatel u každého takového odkazu možnost nabídnout rovnocenné řešení.</w:t>
      </w:r>
    </w:p>
    <w:p w14:paraId="7E911934" w14:textId="77777777" w:rsidR="00D21200" w:rsidRDefault="00D21200" w:rsidP="00EA3C70">
      <w:pPr>
        <w:jc w:val="both"/>
        <w:rPr>
          <w:rFonts w:ascii="Book Antiqua" w:hAnsi="Book Antiqua"/>
          <w:snapToGrid w:val="0"/>
          <w:sz w:val="24"/>
        </w:rPr>
      </w:pPr>
    </w:p>
    <w:p w14:paraId="34E08D3A" w14:textId="77777777" w:rsidR="003E76FA" w:rsidRPr="00EA3C70" w:rsidRDefault="003E76FA" w:rsidP="00EA3C70">
      <w:pPr>
        <w:jc w:val="both"/>
        <w:rPr>
          <w:rFonts w:ascii="Book Antiqua" w:hAnsi="Book Antiqua"/>
          <w:snapToGrid w:val="0"/>
          <w:sz w:val="24"/>
        </w:rPr>
      </w:pPr>
    </w:p>
    <w:p w14:paraId="1F80D202" w14:textId="77777777" w:rsidR="00661D1B" w:rsidRPr="00EA3C70" w:rsidRDefault="00661D1B" w:rsidP="00EA3C70">
      <w:pPr>
        <w:pStyle w:val="Nadpis1"/>
        <w:spacing w:before="0"/>
        <w:rPr>
          <w:rFonts w:ascii="Book Antiqua" w:hAnsi="Book Antiqua"/>
        </w:rPr>
      </w:pPr>
      <w:r w:rsidRPr="00EA3C70">
        <w:rPr>
          <w:rFonts w:ascii="Book Antiqua" w:hAnsi="Book Antiqua"/>
        </w:rPr>
        <w:t>POŽADAVK</w:t>
      </w:r>
      <w:r w:rsidR="00500D4D" w:rsidRPr="00EA3C70">
        <w:rPr>
          <w:rFonts w:ascii="Book Antiqua" w:hAnsi="Book Antiqua"/>
        </w:rPr>
        <w:t>y</w:t>
      </w:r>
      <w:r w:rsidRPr="00EA3C70">
        <w:rPr>
          <w:rFonts w:ascii="Book Antiqua" w:hAnsi="Book Antiqua"/>
        </w:rPr>
        <w:t xml:space="preserve"> NA způsob zpracování nabídkové ceny</w:t>
      </w:r>
    </w:p>
    <w:p w14:paraId="2C0562C8" w14:textId="77777777" w:rsidR="00661D1B" w:rsidRPr="00EA3C70" w:rsidRDefault="00661D1B" w:rsidP="00EA3C70">
      <w:pPr>
        <w:pStyle w:val="Zkladntext2"/>
        <w:rPr>
          <w:rFonts w:ascii="Book Antiqua" w:hAnsi="Book Antiqua" w:cs="Arial"/>
        </w:rPr>
      </w:pPr>
    </w:p>
    <w:p w14:paraId="65AB5424" w14:textId="77777777" w:rsidR="008E79B5" w:rsidRPr="00EA3C70" w:rsidRDefault="008E79B5" w:rsidP="00EA3C70">
      <w:pPr>
        <w:pStyle w:val="Nadpis2"/>
        <w:spacing w:before="0"/>
        <w:rPr>
          <w:rFonts w:ascii="Book Antiqua" w:hAnsi="Book Antiqua"/>
        </w:rPr>
      </w:pPr>
      <w:r w:rsidRPr="00EA3C70">
        <w:rPr>
          <w:rFonts w:ascii="Book Antiqua" w:hAnsi="Book Antiqua"/>
        </w:rPr>
        <w:t>NABídkovÁ cena</w:t>
      </w:r>
      <w:r w:rsidR="008B621A" w:rsidRPr="00EA3C70">
        <w:rPr>
          <w:rFonts w:ascii="Book Antiqua" w:hAnsi="Book Antiqua"/>
        </w:rPr>
        <w:t xml:space="preserve"> za zhotovení stavby</w:t>
      </w:r>
    </w:p>
    <w:p w14:paraId="78C7DFD6" w14:textId="77777777" w:rsidR="00D21200" w:rsidRPr="00EA3C70" w:rsidRDefault="00D21200" w:rsidP="00EA3C70">
      <w:pPr>
        <w:pStyle w:val="Zkladntext2"/>
        <w:rPr>
          <w:rFonts w:ascii="Book Antiqua" w:hAnsi="Book Antiqua" w:cs="Arial"/>
          <w:sz w:val="20"/>
        </w:rPr>
      </w:pPr>
      <w:r w:rsidRPr="00EA3C70">
        <w:rPr>
          <w:rFonts w:ascii="Book Antiqua" w:hAnsi="Book Antiqua" w:cs="Arial"/>
          <w:sz w:val="20"/>
        </w:rPr>
        <w:t>Nabídkovou cenou se pro účely zadávacího řízení rozumí celková cena za celý předmět veřejné zakázky (tedy součet cen všech dílčích soupisů stavebních prací předaných zadavatelem). Nabídková cena musí obsahovat veškeré nutné náklady dodavatele k řádnému provedení díla. Nabídková cena i dílčí celkové ceny dle jednotlivých soupisů budou uvedeny v české měně v členění na cenu celkem bez DPH, výši DPH a cenu celkem včetně DPH</w:t>
      </w:r>
      <w:r w:rsidR="00E97735" w:rsidRPr="00EA3C70">
        <w:rPr>
          <w:rFonts w:ascii="Book Antiqua" w:hAnsi="Book Antiqua" w:cs="Arial"/>
          <w:sz w:val="20"/>
        </w:rPr>
        <w:t>.</w:t>
      </w:r>
    </w:p>
    <w:p w14:paraId="26E31120" w14:textId="77777777" w:rsidR="00D21200" w:rsidRPr="00EA3C70" w:rsidRDefault="00D21200" w:rsidP="00EA3C70">
      <w:pPr>
        <w:rPr>
          <w:rFonts w:ascii="Book Antiqua" w:hAnsi="Book Antiqua"/>
        </w:rPr>
      </w:pPr>
    </w:p>
    <w:p w14:paraId="7014C02E" w14:textId="77777777" w:rsidR="00500D4D" w:rsidRPr="00EA3C70" w:rsidRDefault="00500D4D" w:rsidP="00EA3C70">
      <w:pPr>
        <w:pStyle w:val="Nadpis2"/>
        <w:spacing w:before="0"/>
        <w:rPr>
          <w:rFonts w:ascii="Book Antiqua" w:hAnsi="Book Antiqua"/>
        </w:rPr>
      </w:pPr>
      <w:r w:rsidRPr="00EA3C70">
        <w:rPr>
          <w:rFonts w:ascii="Book Antiqua" w:hAnsi="Book Antiqua"/>
        </w:rPr>
        <w:t>vývoj cen stavebních prací a ostatní rizika</w:t>
      </w:r>
    </w:p>
    <w:p w14:paraId="671D9075" w14:textId="77777777" w:rsidR="00500D4D" w:rsidRPr="00EA3C70" w:rsidRDefault="0063698A" w:rsidP="00EA3C70">
      <w:pPr>
        <w:pStyle w:val="Zkladntext2"/>
        <w:rPr>
          <w:rFonts w:ascii="Book Antiqua" w:hAnsi="Book Antiqua" w:cs="Arial"/>
          <w:sz w:val="20"/>
        </w:rPr>
      </w:pPr>
      <w:r w:rsidRPr="00EA3C70">
        <w:rPr>
          <w:rFonts w:ascii="Book Antiqua" w:hAnsi="Book Antiqua" w:cs="Arial"/>
          <w:sz w:val="20"/>
        </w:rPr>
        <w:t>Není-li v zadávací dokumentaci uvedeno jinak (zejména v obchodních podmínkách), musí dodavatel</w:t>
      </w:r>
      <w:r w:rsidR="00500D4D" w:rsidRPr="00EA3C70">
        <w:rPr>
          <w:rFonts w:ascii="Book Antiqua" w:hAnsi="Book Antiqua" w:cs="Arial"/>
          <w:sz w:val="20"/>
        </w:rPr>
        <w:t> rámci jednotkových cen stavebních prací, dodávek a služeb definovaných zohlednit i očekávaný vývoj cen v národním hospodářství (inflaci) a rovněž i očekávaný vývoj kurzů české měny vůči zahraničním měnám, a to zejména v případě, kdy součástí stavby jsou dodávky z jiných zemí.</w:t>
      </w:r>
    </w:p>
    <w:p w14:paraId="743BBA22" w14:textId="77777777" w:rsidR="008B621A" w:rsidRPr="00EA3C70" w:rsidRDefault="008B621A" w:rsidP="00EA3C70">
      <w:pPr>
        <w:pStyle w:val="Zkladntext2"/>
        <w:rPr>
          <w:rFonts w:ascii="Book Antiqua" w:hAnsi="Book Antiqua" w:cs="Arial"/>
        </w:rPr>
      </w:pPr>
    </w:p>
    <w:p w14:paraId="32609E31" w14:textId="77777777" w:rsidR="00B87D4E" w:rsidRPr="00EA3C70" w:rsidRDefault="00883C3B" w:rsidP="00EA3C70">
      <w:pPr>
        <w:pStyle w:val="Nadpis2"/>
        <w:spacing w:before="0"/>
        <w:rPr>
          <w:rFonts w:ascii="Book Antiqua" w:hAnsi="Book Antiqua"/>
        </w:rPr>
      </w:pPr>
      <w:r w:rsidRPr="00EA3C70">
        <w:rPr>
          <w:rFonts w:ascii="Book Antiqua" w:hAnsi="Book Antiqua"/>
          <w:lang w:val="cs-CZ"/>
        </w:rPr>
        <w:t xml:space="preserve">definice </w:t>
      </w:r>
      <w:r w:rsidRPr="00EA3C70">
        <w:rPr>
          <w:rFonts w:ascii="Book Antiqua" w:hAnsi="Book Antiqua"/>
        </w:rPr>
        <w:t>Položkového rozpočtu a požadavky na jeho sestavení</w:t>
      </w:r>
    </w:p>
    <w:p w14:paraId="3FA190BF" w14:textId="77777777" w:rsidR="006B30FF" w:rsidRPr="00EA3C70" w:rsidRDefault="006B30FF" w:rsidP="00EA3C70">
      <w:pPr>
        <w:pStyle w:val="dkanormln"/>
        <w:rPr>
          <w:rFonts w:ascii="Book Antiqua" w:hAnsi="Book Antiqua" w:cs="Arial"/>
          <w:snapToGrid w:val="0"/>
          <w:kern w:val="0"/>
          <w:sz w:val="20"/>
        </w:rPr>
      </w:pPr>
      <w:r w:rsidRPr="00EA3C70">
        <w:rPr>
          <w:rFonts w:ascii="Book Antiqua" w:hAnsi="Book Antiqua" w:cs="Arial"/>
          <w:snapToGrid w:val="0"/>
          <w:kern w:val="0"/>
          <w:sz w:val="20"/>
        </w:rPr>
        <w:t>Položkovým rozpočtem se rozumí dodavatelem oceněný soupis stavebních prací, dodávek a služeb předaný zadavatelem, v němž dodavatel doplní ke každé popsané položce její jednotkovou cenu a celkovou cenu odpovídající součinu jednotkové ceny a odpovídajícího množství měrných jednotek a v němž stanoví dodavatel mezisoučty za požadované části soupisu. Za soulad položkového rozpočtu s předaným soupisem stavebních prací, dodávek a služeb je odpovědný dodavatel (má se na mysli soulad v obsahu a rozsahu). V případě jakéhokoliv nesouladu položkového rozpočtu dodavatele proti soupisu může zadavatel vyžadovat vysvětlení nabídky ve smyslu § 46 zákona. Povinností dodavatele související s položkovým rozpočtem předkládaným v nabídce je, že musí být obsahově, textově a formátem shodné jako předaný soupis stavebních prací, dodávek a služeb.</w:t>
      </w:r>
    </w:p>
    <w:p w14:paraId="343ACC26" w14:textId="77777777" w:rsidR="00E97735" w:rsidRPr="00EA3C70" w:rsidRDefault="00E97735" w:rsidP="00EA3C70">
      <w:pPr>
        <w:pStyle w:val="Zkladntext2"/>
        <w:rPr>
          <w:rFonts w:ascii="Book Antiqua" w:hAnsi="Book Antiqua" w:cs="Arial"/>
        </w:rPr>
      </w:pPr>
    </w:p>
    <w:p w14:paraId="4EB6A2B3" w14:textId="77777777" w:rsidR="00AC70A8" w:rsidRPr="00EA3C70" w:rsidRDefault="00AC70A8" w:rsidP="00EA3C70">
      <w:pPr>
        <w:pStyle w:val="Nadpis2"/>
        <w:spacing w:before="0"/>
        <w:rPr>
          <w:rFonts w:ascii="Book Antiqua" w:hAnsi="Book Antiqua"/>
        </w:rPr>
      </w:pPr>
      <w:r w:rsidRPr="00EA3C70">
        <w:rPr>
          <w:rFonts w:ascii="Book Antiqua" w:hAnsi="Book Antiqua"/>
        </w:rPr>
        <w:t xml:space="preserve">VÝJIMKY </w:t>
      </w:r>
      <w:r w:rsidR="008E4EDB" w:rsidRPr="00EA3C70">
        <w:rPr>
          <w:rFonts w:ascii="Book Antiqua" w:hAnsi="Book Antiqua"/>
        </w:rPr>
        <w:t>pro stanovení nabídkové ceny</w:t>
      </w:r>
    </w:p>
    <w:p w14:paraId="4F8C7F26" w14:textId="77777777" w:rsidR="00E97735" w:rsidRDefault="00E97735" w:rsidP="00EA3C70">
      <w:pPr>
        <w:pStyle w:val="dkanormln"/>
        <w:rPr>
          <w:rFonts w:ascii="Book Antiqua" w:hAnsi="Book Antiqua" w:cs="Arial"/>
          <w:snapToGrid w:val="0"/>
          <w:kern w:val="0"/>
          <w:sz w:val="20"/>
        </w:rPr>
      </w:pPr>
      <w:r w:rsidRPr="00EA3C70">
        <w:rPr>
          <w:rFonts w:ascii="Book Antiqua" w:hAnsi="Book Antiqua" w:cs="Arial"/>
          <w:snapToGrid w:val="0"/>
          <w:kern w:val="0"/>
          <w:sz w:val="20"/>
        </w:rPr>
        <w:t>Pro sestavení cen jednotlivých dílčích soupisů platí pro určité položky stavebních prací následující ustanovení:</w:t>
      </w:r>
    </w:p>
    <w:p w14:paraId="49DE83D2" w14:textId="77777777" w:rsidR="003E76FA" w:rsidRPr="00EA3C70" w:rsidRDefault="003E76FA" w:rsidP="003E76FA">
      <w:pPr>
        <w:pStyle w:val="Nadpis3"/>
        <w:tabs>
          <w:tab w:val="clear" w:pos="1134"/>
          <w:tab w:val="num" w:pos="709"/>
        </w:tabs>
        <w:rPr>
          <w:rFonts w:ascii="Book Antiqua" w:hAnsi="Book Antiqua"/>
        </w:rPr>
      </w:pPr>
      <w:proofErr w:type="spellStart"/>
      <w:r w:rsidRPr="00EA3C70">
        <w:rPr>
          <w:rFonts w:ascii="Book Antiqua" w:hAnsi="Book Antiqua"/>
        </w:rPr>
        <w:t>Vnitrostaveništní</w:t>
      </w:r>
      <w:proofErr w:type="spellEnd"/>
      <w:r w:rsidRPr="00EA3C70">
        <w:rPr>
          <w:rFonts w:ascii="Book Antiqua" w:hAnsi="Book Antiqua"/>
        </w:rPr>
        <w:t xml:space="preserve"> přesun stavebního materiálu (položky označené „Přesun hmot“)</w:t>
      </w:r>
    </w:p>
    <w:p w14:paraId="7873F710" w14:textId="77777777" w:rsidR="003E76FA" w:rsidRPr="00EA3C70" w:rsidRDefault="003E76FA" w:rsidP="003E76FA">
      <w:pPr>
        <w:pStyle w:val="Nadpis3"/>
        <w:numPr>
          <w:ilvl w:val="0"/>
          <w:numId w:val="0"/>
        </w:numPr>
        <w:ind w:left="709"/>
        <w:rPr>
          <w:rFonts w:ascii="Book Antiqua" w:hAnsi="Book Antiqua"/>
        </w:rPr>
      </w:pPr>
      <w:r w:rsidRPr="00EA3C70">
        <w:rPr>
          <w:rFonts w:ascii="Book Antiqua" w:hAnsi="Book Antiqua"/>
        </w:rPr>
        <w:t xml:space="preserve">Obecně platí, že položky stavebních prací zahrnují manipulaci s potřebným stavebním materiálem v rámci technologického prostoru, jehož velikost a podmínky použití jsou popsány v použité cenové soustavě. Zbývající nezbytný přesun stavebního materiálu po staveništi definuje soupis v položkách pro </w:t>
      </w:r>
      <w:proofErr w:type="spellStart"/>
      <w:r w:rsidRPr="00EA3C70">
        <w:rPr>
          <w:rFonts w:ascii="Book Antiqua" w:hAnsi="Book Antiqua"/>
        </w:rPr>
        <w:t>vnitrostaveništní</w:t>
      </w:r>
      <w:proofErr w:type="spellEnd"/>
      <w:r w:rsidRPr="00EA3C70">
        <w:rPr>
          <w:rFonts w:ascii="Book Antiqua" w:hAnsi="Book Antiqua"/>
        </w:rPr>
        <w:t xml:space="preserve"> přesun stavebního materiálu (položky jsou označeny v popise jako „Přesun hmot“). Podle obvyklých způsobů oceňování stavebních prací dochází v množství této položky při použití běžných oceňovacích programů k výpočtu skutečné hmotnosti přemísťovaného stavebního materiálu podle hodnot hmotnosti v příslušných položkách. Dodavatel je povinen dodržet při ocenění soupisem popsanou hmotnost přesouvaného materiálu a stanovit jednotkovou cenu tak, aby celková cena položky „Přesun hmot“ odpovídala skutečným nákladům dodavatele.</w:t>
      </w:r>
    </w:p>
    <w:p w14:paraId="1196B512" w14:textId="77777777" w:rsidR="003E76FA" w:rsidRPr="00EA3C70" w:rsidRDefault="003E76FA" w:rsidP="00EA3C70">
      <w:pPr>
        <w:pStyle w:val="dkanormln"/>
        <w:rPr>
          <w:rFonts w:ascii="Book Antiqua" w:hAnsi="Book Antiqua" w:cs="Arial"/>
          <w:snapToGrid w:val="0"/>
          <w:kern w:val="0"/>
          <w:sz w:val="20"/>
        </w:rPr>
      </w:pPr>
    </w:p>
    <w:p w14:paraId="6A8F090D" w14:textId="77777777" w:rsidR="00E97735" w:rsidRPr="00EA3C70" w:rsidRDefault="00903B88" w:rsidP="00EA3C70">
      <w:pPr>
        <w:pStyle w:val="Nadpis3"/>
        <w:numPr>
          <w:ilvl w:val="0"/>
          <w:numId w:val="0"/>
        </w:numPr>
        <w:ind w:left="709"/>
        <w:rPr>
          <w:rFonts w:ascii="Book Antiqua" w:hAnsi="Book Antiqua"/>
        </w:rPr>
      </w:pPr>
      <w:bookmarkStart w:id="2" w:name="_Hlk132614165"/>
      <w:r w:rsidRPr="00EA3C70">
        <w:rPr>
          <w:rFonts w:ascii="Book Antiqua" w:hAnsi="Book Antiqua"/>
        </w:rPr>
        <w:lastRenderedPageBreak/>
        <w:t>U prací pomocné stavební výroby (PSV) může soupis obsahovat položky, které předpokládají výpočet nákladů na přesun hmot procentním podílem z nákladů prací a dodávek zahrnutých do příslušného oddílu stavebních prací (řemesla). Je pravděpodobné, že dodavatelé používají pro výpočet jiné procentní hodnoty nebo jiný způsob výpočtu těchto nákladů, což je přípustné. U těchto položek postačí, pokud dodavatel stanoví pouze celkovou nabídkovou cenu položky „Přesunu hmot“ tak, aby odpovídala jeho skutečným nákladům, a není povinen u těchto položek definovat jednotkou cenu ani výši procenta, pokud z něj vycházel. Celková cena položek „Přesunu hmot“ však musí být stanovena vždy. „Rozpuštění“ těchto nákladů do ostatních položek není přípustné.</w:t>
      </w:r>
      <w:bookmarkEnd w:id="2"/>
    </w:p>
    <w:p w14:paraId="0C5B14F0" w14:textId="77777777" w:rsidR="00E97735" w:rsidRPr="00EA3C70" w:rsidRDefault="00E97735" w:rsidP="00EA3C70">
      <w:pPr>
        <w:rPr>
          <w:rFonts w:ascii="Book Antiqua" w:hAnsi="Book Antiqua"/>
        </w:rPr>
      </w:pPr>
    </w:p>
    <w:p w14:paraId="1D3EED2B" w14:textId="77777777" w:rsidR="00E97735" w:rsidRPr="00EA3C70" w:rsidRDefault="00E97735" w:rsidP="00EA3C70">
      <w:pPr>
        <w:pStyle w:val="Nadpis3"/>
        <w:tabs>
          <w:tab w:val="clear" w:pos="1134"/>
          <w:tab w:val="num" w:pos="709"/>
        </w:tabs>
        <w:rPr>
          <w:rFonts w:ascii="Book Antiqua" w:hAnsi="Book Antiqua"/>
        </w:rPr>
      </w:pPr>
      <w:r w:rsidRPr="00EA3C70">
        <w:rPr>
          <w:rFonts w:ascii="Book Antiqua" w:hAnsi="Book Antiqua"/>
        </w:rPr>
        <w:t>Příplatky za ztížené podmínky prací</w:t>
      </w:r>
    </w:p>
    <w:p w14:paraId="121D4405" w14:textId="77777777" w:rsidR="00E97735" w:rsidRPr="00EA3C70" w:rsidRDefault="00E97735" w:rsidP="00EA3C70">
      <w:pPr>
        <w:pStyle w:val="Nadpis3"/>
        <w:keepNext w:val="0"/>
        <w:numPr>
          <w:ilvl w:val="0"/>
          <w:numId w:val="0"/>
        </w:numPr>
        <w:ind w:left="709"/>
        <w:rPr>
          <w:rFonts w:ascii="Book Antiqua" w:hAnsi="Book Antiqua"/>
        </w:rPr>
      </w:pPr>
      <w:r w:rsidRPr="00EA3C70">
        <w:rPr>
          <w:rFonts w:ascii="Book Antiqua" w:hAnsi="Book Antiqua"/>
        </w:rPr>
        <w:t>V cenových soustavách využívaných pro sestavení soupisu stavebních prací, dodávek a služeb jsou obsaženy podle zásad tvorby cen i položky vyjadřující příplatky k cenám stavebních prací vyjadřující jejich ztížené provádění či jiné specifické podmínky. Jde např. o příplatky za lepivost, příplatky za malé plochy, příplatky za požadavky na odlišný způsob provedení, příplatky za používání lešení apod. Pokud soupis takovouto položku definuje, je dodavatel povinen ji ocenit i bez ohledu na to, že tento náklad standardně neuplatňuje. V takovém případě musí nabídková cena položky stavebních prací a s ní souvisejícího příplatku, v součtu definovat nabídkovou cenu za provedení popsané stavební práce.</w:t>
      </w:r>
    </w:p>
    <w:p w14:paraId="07C72C8A" w14:textId="77777777" w:rsidR="0061275E" w:rsidRPr="00EA3C70" w:rsidRDefault="0061275E" w:rsidP="00EA3C70">
      <w:pPr>
        <w:rPr>
          <w:rFonts w:ascii="Book Antiqua" w:hAnsi="Book Antiqua"/>
          <w:sz w:val="12"/>
        </w:rPr>
      </w:pPr>
    </w:p>
    <w:p w14:paraId="7F0470DD" w14:textId="77777777" w:rsidR="0061275E" w:rsidRPr="00EA3C70" w:rsidRDefault="0061275E" w:rsidP="00EA3C70">
      <w:pPr>
        <w:pStyle w:val="Nadpis3"/>
        <w:keepNext w:val="0"/>
        <w:numPr>
          <w:ilvl w:val="0"/>
          <w:numId w:val="0"/>
        </w:numPr>
        <w:ind w:left="1134"/>
        <w:rPr>
          <w:rFonts w:ascii="Book Antiqua" w:hAnsi="Book Antiqua"/>
          <w:sz w:val="2"/>
        </w:rPr>
      </w:pPr>
    </w:p>
    <w:p w14:paraId="686ABA1B" w14:textId="77777777" w:rsidR="00E97735" w:rsidRPr="00EA3C70" w:rsidRDefault="00E97735" w:rsidP="00EA3C70">
      <w:pPr>
        <w:pStyle w:val="Nadpis3"/>
        <w:keepNext w:val="0"/>
        <w:tabs>
          <w:tab w:val="clear" w:pos="1134"/>
          <w:tab w:val="num" w:pos="709"/>
        </w:tabs>
        <w:rPr>
          <w:rFonts w:ascii="Book Antiqua" w:hAnsi="Book Antiqua"/>
        </w:rPr>
      </w:pPr>
      <w:r w:rsidRPr="00EA3C70">
        <w:rPr>
          <w:rFonts w:ascii="Book Antiqua" w:hAnsi="Book Antiqua"/>
        </w:rPr>
        <w:t>Různé doplňkové a jiné náklady</w:t>
      </w:r>
    </w:p>
    <w:p w14:paraId="61728655" w14:textId="77777777" w:rsidR="00376A8C" w:rsidRPr="00EA3C70" w:rsidRDefault="00903B88" w:rsidP="00EA3C70">
      <w:pPr>
        <w:pStyle w:val="Nadpis3"/>
        <w:keepNext w:val="0"/>
        <w:numPr>
          <w:ilvl w:val="0"/>
          <w:numId w:val="0"/>
        </w:numPr>
        <w:ind w:left="709"/>
        <w:rPr>
          <w:rFonts w:ascii="Book Antiqua" w:hAnsi="Book Antiqua"/>
        </w:rPr>
      </w:pPr>
      <w:bookmarkStart w:id="3" w:name="_Hlk132614190"/>
      <w:r w:rsidRPr="00EA3C70">
        <w:rPr>
          <w:rFonts w:ascii="Book Antiqua" w:hAnsi="Book Antiqua"/>
        </w:rPr>
        <w:t>Je obvyklé, že soupisy specializovaných řemesel (zejména elektroinstalace, MaR a vzduchotechnika) bývají zpracovány jiným SW vybavením, než jsou běžné stavební práce a využívají individuálního popisu položek. V rámci rekapitulací těchto částí stavebního objektu jsou pak definovány i různé doplňkové náklady jako doprava, přesun, PPV, zednické výpomoci, náklady na podružný materiál, a to většinou formou procentního dopočtu. U těchto „doplňkových“ položek platí, že tyto náklady musí být součástí nabídkové ceny dodavatele (ať už se v rekapitulaci vyskytují či nikoliv) a v rámci rekapitulace takového řemesla nemusí být dodavatelem oceňovány (zde je neuvedení ceny nebo hodnota 0,- Kč přípustná), pokud jsou v nabídkové ceny již zohledněny, např. v jednotkových cenách položek nebo přímo v určených položkách soupisu, viz odstavec 2 níže. Totéž platí i v případě, kdy u těchto specializovaných řemesel je v rámci rekapitulací stanoven náklad na zařízení staveniště, dokumentaci skutečného provedení či jiný vedlejší nebo ostatní náklad. Ani tyto položky dodavatel oceňovat nemusí, protože tyto náklady budou dodavatelem oceněny v rámci ostatních a vedlejších nákladů pro celou stavbu.</w:t>
      </w:r>
    </w:p>
    <w:bookmarkEnd w:id="3"/>
    <w:p w14:paraId="019853A2" w14:textId="77777777" w:rsidR="00CC5FA5" w:rsidRPr="00EA3C70" w:rsidRDefault="00CC5FA5" w:rsidP="00EA3C70">
      <w:pPr>
        <w:pStyle w:val="Nadpis3"/>
        <w:keepNext w:val="0"/>
        <w:numPr>
          <w:ilvl w:val="0"/>
          <w:numId w:val="0"/>
        </w:numPr>
        <w:ind w:left="709"/>
        <w:rPr>
          <w:rFonts w:ascii="Book Antiqua" w:hAnsi="Book Antiqua"/>
        </w:rPr>
      </w:pPr>
      <w:r w:rsidRPr="00EA3C70">
        <w:rPr>
          <w:rFonts w:ascii="Book Antiqua" w:hAnsi="Book Antiqua"/>
        </w:rPr>
        <w:t>Výjimkou je případ, pokud se položky s výše uvedenými náklady nachází mezi ostatními běžnými položkami stavebních prací, dodávek a služeb (nikoliv tedy v rekapitulaci), s klasickým popisem, množstvím a měrnou jednotkou (případně mají svůj samostatný list soupisu), takto vymezené položky dodavatel v rámci daného objektu/profese řádně ocení a jejich náklady již nebude započítávat do jednotkových cen položek či položek ostatních a vedlejších nákladů celé stavby. Rovněž platí, že pokud takové položky ve svém popisu obsahují nějaká procentní vyjádření (např. „dopravné 3,6 %“, „přesun 1 %“), pak tyto procenta nejsou pro dodavatele k ocenění nijak závazná a dodavatelé nejsou povinni se jimi při oceňování takovýchto položek řídit.</w:t>
      </w:r>
    </w:p>
    <w:p w14:paraId="4BCD1EC8" w14:textId="77777777" w:rsidR="003B2B9F" w:rsidRPr="00EA3C70" w:rsidRDefault="003B2B9F" w:rsidP="00EA3C70">
      <w:pPr>
        <w:rPr>
          <w:rFonts w:ascii="Book Antiqua" w:hAnsi="Book Antiqua"/>
        </w:rPr>
      </w:pPr>
    </w:p>
    <w:p w14:paraId="1722A997" w14:textId="77777777" w:rsidR="006B30FF" w:rsidRPr="00EA3C70" w:rsidRDefault="006B30FF" w:rsidP="00EA3C70">
      <w:pPr>
        <w:pStyle w:val="Nadpis3"/>
        <w:keepNext w:val="0"/>
        <w:tabs>
          <w:tab w:val="clear" w:pos="1134"/>
          <w:tab w:val="num" w:pos="709"/>
        </w:tabs>
        <w:rPr>
          <w:rFonts w:ascii="Book Antiqua" w:hAnsi="Book Antiqua"/>
        </w:rPr>
      </w:pPr>
      <w:r w:rsidRPr="00EA3C70">
        <w:rPr>
          <w:rFonts w:ascii="Book Antiqua" w:hAnsi="Book Antiqua"/>
        </w:rPr>
        <w:t xml:space="preserve">Přeprava vybouraných hmot, suti a vytěžené zeminy   </w:t>
      </w:r>
    </w:p>
    <w:p w14:paraId="27D0B703" w14:textId="77777777" w:rsidR="006B30FF" w:rsidRPr="00EA3C70" w:rsidRDefault="006B30FF" w:rsidP="00EA3C70">
      <w:pPr>
        <w:pStyle w:val="Nadpis3"/>
        <w:keepNext w:val="0"/>
        <w:numPr>
          <w:ilvl w:val="0"/>
          <w:numId w:val="0"/>
        </w:numPr>
        <w:ind w:left="709"/>
        <w:rPr>
          <w:rFonts w:ascii="Book Antiqua" w:hAnsi="Book Antiqua"/>
        </w:rPr>
      </w:pPr>
      <w:r w:rsidRPr="00EA3C70">
        <w:rPr>
          <w:rFonts w:ascii="Book Antiqua" w:hAnsi="Book Antiqua"/>
        </w:rPr>
        <w:t>Pokud soupis obsahuje i některé technologické položky vztahující se k uložení vytěžené zeminy nebo vybouraných hmot či vodorovné přesuny zeminy nebo vybouraných hmot, pak v takovém případě zadavatel v době sestavení soupisu nezná a znát nemůže, jaký technologický postup zhotovitel zvolí a jaká místa pro uložení zeminy nebo vybouraných hmot zajistí. U takových položek platí rovněž zákaz zásahu do množství či popisu položky a je povinností dodavatele stanovit takovou jednotkovou cenu, aby celková cena položky odpovídala jeho konkrétním technologickým podmínkám a konkrétní přepravní vzdálenosti, při soupisem vymezeném popisu položky a množství měrných jednotek.</w:t>
      </w:r>
    </w:p>
    <w:p w14:paraId="0D09A790" w14:textId="77777777" w:rsidR="00CC5FA5" w:rsidRPr="00EA3C70" w:rsidRDefault="006B30FF" w:rsidP="00EA3C70">
      <w:pPr>
        <w:pStyle w:val="Nadpis3"/>
        <w:keepNext w:val="0"/>
        <w:numPr>
          <w:ilvl w:val="0"/>
          <w:numId w:val="0"/>
        </w:numPr>
        <w:ind w:left="709"/>
        <w:rPr>
          <w:rFonts w:ascii="Book Antiqua" w:hAnsi="Book Antiqua"/>
        </w:rPr>
      </w:pPr>
      <w:r w:rsidRPr="00EA3C70">
        <w:rPr>
          <w:rFonts w:ascii="Book Antiqua" w:hAnsi="Book Antiqua"/>
          <w:u w:val="single"/>
        </w:rPr>
        <w:lastRenderedPageBreak/>
        <w:t>Pokud předložený soupis stavebních prací předpokládá přepravu vytěžené zeminy či vybouraných hmot na skládku do určité vzdálenosti (dle uvažovaného místa uložení), je dodavatel oprávněn při zpracování nabídkové ceny zvolit místo uložení dle svých možností a dle své technologie.</w:t>
      </w:r>
      <w:r w:rsidRPr="00EA3C70">
        <w:rPr>
          <w:rFonts w:ascii="Book Antiqua" w:hAnsi="Book Antiqua"/>
        </w:rPr>
        <w:t xml:space="preserve"> Vždy ale platí, že zemina či vybourané hmoty musí být uloženy v souladu se všemi právními předpisy, které se k jejímu uložení vztahují. V rámci stanovení nabídkové ceny pak dodavatel ocení položky Vodorovného přemístění vytěžené zeminy/hmot podle nákladů, které mu skutečně vzniknou, a to tak, že nezasahuje do předepsaného množství zeminy/hmot ani do stanovené přepravní vzdálenosti, ale pouze upraví jednotkovou cenu tak, aby v celkové ceně položky dosáhl celkových nákladů dle svých úvah o předpokládaném skutečném místu uložení vytěžené zeminy či vybouraných hmot (a skutečného množství, viz odst. 2 bodu 5.4.5 níže). U položek soupisu, které vyjadřují příplatek za každý další 1 km přepravní vzdálenosti, je přípustná i hodnota 0,- Kč, aniž by to bylo porušením zadávacích podmínek, a to v případě, kdy místo uložení svou vzdálenosti od místa těžby odpovídá základní či menší vzdálenosti popsané v položce vodorovného přemístění.</w:t>
      </w:r>
      <w:r w:rsidR="00196BBB" w:rsidRPr="00EA3C70">
        <w:rPr>
          <w:rFonts w:ascii="Book Antiqua" w:hAnsi="Book Antiqua"/>
        </w:rPr>
        <w:t xml:space="preserve"> </w:t>
      </w:r>
    </w:p>
    <w:p w14:paraId="466DFF00" w14:textId="77777777" w:rsidR="006B30FF" w:rsidRPr="00EA3C70" w:rsidRDefault="006B30FF" w:rsidP="00EA3C70">
      <w:pPr>
        <w:pStyle w:val="Nadpis3"/>
        <w:keepNext w:val="0"/>
        <w:numPr>
          <w:ilvl w:val="0"/>
          <w:numId w:val="0"/>
        </w:numPr>
        <w:ind w:left="709"/>
        <w:rPr>
          <w:rFonts w:ascii="Book Antiqua" w:hAnsi="Book Antiqua"/>
        </w:rPr>
      </w:pPr>
      <w:r w:rsidRPr="00EA3C70">
        <w:rPr>
          <w:rFonts w:ascii="Book Antiqua" w:hAnsi="Book Antiqua"/>
        </w:rPr>
        <w:t xml:space="preserve">Zadavatel má právo, požadovat po dodavateli, aby v rámci objasnění nabídky uvedl konkrétní místo a způsob uložení vytěžené zeminy či vybouraných hmot. Termín vybourané hmoty zahrnuje i dřevní hmotu. </w:t>
      </w:r>
    </w:p>
    <w:p w14:paraId="04DC8BFA" w14:textId="77777777" w:rsidR="006B30FF" w:rsidRPr="00EA3C70" w:rsidRDefault="006B30FF" w:rsidP="00EA3C70">
      <w:pPr>
        <w:pStyle w:val="Nadpis3"/>
        <w:keepNext w:val="0"/>
        <w:numPr>
          <w:ilvl w:val="0"/>
          <w:numId w:val="0"/>
        </w:numPr>
        <w:ind w:left="1134"/>
        <w:rPr>
          <w:rFonts w:ascii="Book Antiqua" w:hAnsi="Book Antiqua"/>
        </w:rPr>
      </w:pPr>
    </w:p>
    <w:p w14:paraId="1BF2BBA8" w14:textId="77777777" w:rsidR="006B30FF" w:rsidRPr="00EA3C70" w:rsidRDefault="006B30FF" w:rsidP="00EA3C70">
      <w:pPr>
        <w:pStyle w:val="Nadpis3"/>
        <w:keepNext w:val="0"/>
        <w:tabs>
          <w:tab w:val="clear" w:pos="1134"/>
          <w:tab w:val="num" w:pos="709"/>
        </w:tabs>
        <w:rPr>
          <w:rFonts w:ascii="Book Antiqua" w:hAnsi="Book Antiqua"/>
        </w:rPr>
      </w:pPr>
      <w:r w:rsidRPr="00EA3C70">
        <w:rPr>
          <w:rFonts w:ascii="Book Antiqua" w:hAnsi="Book Antiqua"/>
        </w:rPr>
        <w:t>Poplatky za uskladnění</w:t>
      </w:r>
    </w:p>
    <w:p w14:paraId="4A15DA99" w14:textId="77777777" w:rsidR="006B30FF" w:rsidRPr="00EA3C70" w:rsidRDefault="006B30FF" w:rsidP="00EA3C70">
      <w:pPr>
        <w:pStyle w:val="Nadpis3"/>
        <w:keepNext w:val="0"/>
        <w:numPr>
          <w:ilvl w:val="0"/>
          <w:numId w:val="0"/>
        </w:numPr>
        <w:ind w:left="709"/>
        <w:rPr>
          <w:rFonts w:ascii="Book Antiqua" w:hAnsi="Book Antiqua"/>
        </w:rPr>
      </w:pPr>
      <w:r w:rsidRPr="00EA3C70">
        <w:rPr>
          <w:rFonts w:ascii="Book Antiqua" w:hAnsi="Book Antiqua"/>
        </w:rPr>
        <w:t>Pokud soupis definuje i položky pro uložení vytěžené zeminy nebo vybouraných hmot a za toto uložení musí dodavatel hradit příslušné poplatky, je povinností dodavatele zakalkulovat do své nabídkové ceny i tyto poplatky, a to bez ohledu na to, zda soupis obsahuje nebo neobsahuje samostatnou položku „poplatek za skládku“.  Pokud je v soupisu obsažena samostatně položka „poplatek za skládku“ nebo jí textem odpovídající položka, pak cena poplatku za uložení bude definována v této položce. Pouze v případě, pokud by samostatná položka „poplatek za skládku“ určitým konkrétním soupisem definována nebyla, pak cena za poplatek za skládku musí být obsažena v ceně za vodorovné přemístění takového ukládaného materiálu. Zadavatel v době sestavení soupisu nezná a znát nemůže, jaký technologický postup zhotovitel pro ukládání zeminy nebo vybourané suti či jiného materiálu zvolí a jaké místo pro uložení zajistí a z tohoto důvodu nemůže přesně určit ani nutnost poplatku za uložení těchto hmot. Proto v případě, kdy soupis položku takového poplatku neobsahuje a podle zjištění dodavatele je nutno poplatek uhradit, započte dodavatel jeho hodnotu do položky vodorovného přesunu.</w:t>
      </w:r>
    </w:p>
    <w:p w14:paraId="436FECC2" w14:textId="77777777" w:rsidR="006B30FF" w:rsidRPr="00EA3C70" w:rsidRDefault="006B30FF" w:rsidP="00EA3C70">
      <w:pPr>
        <w:pStyle w:val="Nadpis3"/>
        <w:keepNext w:val="0"/>
        <w:numPr>
          <w:ilvl w:val="0"/>
          <w:numId w:val="0"/>
        </w:numPr>
        <w:ind w:left="709"/>
        <w:rPr>
          <w:rFonts w:ascii="Book Antiqua" w:hAnsi="Book Antiqua"/>
        </w:rPr>
      </w:pPr>
      <w:r w:rsidRPr="00EA3C70">
        <w:rPr>
          <w:rFonts w:ascii="Book Antiqua" w:hAnsi="Book Antiqua"/>
          <w:u w:val="single"/>
        </w:rPr>
        <w:tab/>
        <w:t>Pokud soupis obsahuje samostatné položky pro uložení vytěžené zeminy či vybouraných hmot, je dodavatel oprávněn zeminu či hmoty využít k vlastnímu účelu dle svých potřeb, např. na jiných stavbách.</w:t>
      </w:r>
      <w:r w:rsidRPr="00EA3C70">
        <w:rPr>
          <w:rFonts w:ascii="Book Antiqua" w:hAnsi="Book Antiqua"/>
        </w:rPr>
        <w:t xml:space="preserve"> V takovém případě dodavatel v dotčené položce poplatku za skládku stanoví cenu dle skutečně uloženého množství zeminy či vybouraných hmot. Dodavatel v soupisu úměrně sníží jednotkovou cenu za uložení 1 tuny tak, aby celková cena položky odpovídala celkové tonáži uložené zeminy či vybouraných hmot. Vždy ale platí, že zemina či vybourané hmoty musí být využity v souladu se všemi právními předpisy, které se k jejímu užití vztahují. </w:t>
      </w:r>
      <w:r w:rsidRPr="00EA3C70">
        <w:rPr>
          <w:rFonts w:ascii="Book Antiqua" w:hAnsi="Book Antiqua"/>
          <w:b/>
          <w:bCs/>
          <w:u w:val="single"/>
        </w:rPr>
        <w:t>Doprava zeminy a vybouraných hmot jinam nežli na skládku nebo zpět na stavbu podléhá souhlasu zadavatele</w:t>
      </w:r>
      <w:r w:rsidRPr="00EA3C70">
        <w:rPr>
          <w:rFonts w:ascii="Book Antiqua" w:hAnsi="Book Antiqua"/>
          <w:b/>
          <w:bCs/>
        </w:rPr>
        <w:t xml:space="preserve">. </w:t>
      </w:r>
      <w:r w:rsidRPr="00EA3C70">
        <w:rPr>
          <w:rFonts w:ascii="Book Antiqua" w:hAnsi="Book Antiqua"/>
        </w:rPr>
        <w:t xml:space="preserve">U položek poplatku za skládku je rovněž přípustná hodnota ocenění 0,- Kč, aniž by to bylo porušením zadávacích podmínek, a to v případě, kdy dodavatel využije veškerý materiál, na který položka odkazuje. </w:t>
      </w:r>
    </w:p>
    <w:p w14:paraId="37DAABC3" w14:textId="77777777" w:rsidR="006B30FF" w:rsidRPr="00EA3C70" w:rsidRDefault="006B30FF" w:rsidP="00EA3C70">
      <w:pPr>
        <w:pStyle w:val="Nadpis3"/>
        <w:keepNext w:val="0"/>
        <w:numPr>
          <w:ilvl w:val="0"/>
          <w:numId w:val="0"/>
        </w:numPr>
        <w:ind w:left="709"/>
        <w:rPr>
          <w:rFonts w:ascii="Book Antiqua" w:hAnsi="Book Antiqua"/>
        </w:rPr>
      </w:pPr>
      <w:r w:rsidRPr="00EA3C70">
        <w:rPr>
          <w:rFonts w:ascii="Book Antiqua" w:hAnsi="Book Antiqua"/>
        </w:rPr>
        <w:t>Zadavatel má právo, požadovat po dodavateli, aby v rámci objasnění nabídky uvedl konkrétní způsob využití vytěžené zeminy či vybouraných hmot. Termín vybourané hmoty zahrnuje i dřevní hmotu.</w:t>
      </w:r>
    </w:p>
    <w:p w14:paraId="5AFC3726" w14:textId="77777777" w:rsidR="00E97735" w:rsidRPr="00EA3C70" w:rsidRDefault="00E97735" w:rsidP="00EA3C70">
      <w:pPr>
        <w:rPr>
          <w:rFonts w:ascii="Book Antiqua" w:hAnsi="Book Antiqua"/>
        </w:rPr>
      </w:pPr>
    </w:p>
    <w:p w14:paraId="18DC8872" w14:textId="77777777" w:rsidR="00266CBC" w:rsidRPr="00EA3C70" w:rsidRDefault="00266CBC" w:rsidP="00EA3C70">
      <w:pPr>
        <w:pStyle w:val="Nadpis3"/>
        <w:keepNext w:val="0"/>
        <w:tabs>
          <w:tab w:val="clear" w:pos="1134"/>
          <w:tab w:val="num" w:pos="709"/>
        </w:tabs>
        <w:rPr>
          <w:rFonts w:ascii="Book Antiqua" w:hAnsi="Book Antiqua"/>
        </w:rPr>
      </w:pPr>
      <w:r w:rsidRPr="00EA3C70">
        <w:rPr>
          <w:rFonts w:ascii="Book Antiqua" w:hAnsi="Book Antiqua"/>
        </w:rPr>
        <w:t xml:space="preserve">Servis technologických zařízení </w:t>
      </w:r>
    </w:p>
    <w:p w14:paraId="5F6B3682" w14:textId="77777777" w:rsidR="00266CBC" w:rsidRDefault="00266CBC" w:rsidP="00EA3C70">
      <w:pPr>
        <w:pStyle w:val="Nadpis3"/>
        <w:keepNext w:val="0"/>
        <w:numPr>
          <w:ilvl w:val="0"/>
          <w:numId w:val="0"/>
        </w:numPr>
        <w:ind w:left="709"/>
        <w:rPr>
          <w:rFonts w:ascii="Book Antiqua" w:hAnsi="Book Antiqua"/>
        </w:rPr>
      </w:pPr>
      <w:r w:rsidRPr="00EA3C70">
        <w:rPr>
          <w:rFonts w:ascii="Book Antiqua" w:hAnsi="Book Antiqua"/>
        </w:rPr>
        <w:tab/>
        <w:t xml:space="preserve">Pokud soupis definuje položky pro dodávku technologických zařízení, strojů nebo přístrojů, u nichž je výrobcem takového zařízení předepsána servisní prohlídka či jiný úkon spojený s provozem takového zařízení, a zadavatel v rámci obchodních podmínek požaduje tyto úkony řádně a včas provést nebo zabezpečit jejich provedení třetí osobou </w:t>
      </w:r>
      <w:r w:rsidRPr="00EA3C70">
        <w:rPr>
          <w:rFonts w:ascii="Book Antiqua" w:hAnsi="Book Antiqua"/>
        </w:rPr>
        <w:lastRenderedPageBreak/>
        <w:t xml:space="preserve">(např. alespoň po dobu záruky), zahrne dodavatel tyto náklady do jednotkové ceny každé takové položky. Pokud je cena u takové položky rozdělena samostatně na cenu </w:t>
      </w:r>
      <w:r w:rsidR="00E46E39" w:rsidRPr="00EA3C70">
        <w:rPr>
          <w:rFonts w:ascii="Book Antiqua" w:hAnsi="Book Antiqua"/>
        </w:rPr>
        <w:t xml:space="preserve">za </w:t>
      </w:r>
      <w:r w:rsidRPr="00EA3C70">
        <w:rPr>
          <w:rFonts w:ascii="Book Antiqua" w:hAnsi="Book Antiqua"/>
        </w:rPr>
        <w:t>dodávku a cenu za montáž, zohlední dodavatel tyto náklady v rámci ceny za montáž.</w:t>
      </w:r>
    </w:p>
    <w:p w14:paraId="2FBBE473" w14:textId="77777777" w:rsidR="003E76FA" w:rsidRPr="003E76FA" w:rsidRDefault="003E76FA" w:rsidP="003E76FA"/>
    <w:p w14:paraId="2F1702CD" w14:textId="77777777" w:rsidR="00AC70A8" w:rsidRPr="00EA3C70" w:rsidRDefault="00AC70A8" w:rsidP="00EA3C70">
      <w:pPr>
        <w:pStyle w:val="Nadpis2"/>
        <w:spacing w:before="0"/>
        <w:rPr>
          <w:rFonts w:ascii="Book Antiqua" w:hAnsi="Book Antiqua"/>
        </w:rPr>
      </w:pPr>
      <w:r w:rsidRPr="00EA3C70">
        <w:rPr>
          <w:rFonts w:ascii="Book Antiqua" w:hAnsi="Book Antiqua"/>
        </w:rPr>
        <w:t xml:space="preserve">struktura nabídkové ceny </w:t>
      </w:r>
    </w:p>
    <w:p w14:paraId="20D349B1" w14:textId="77777777" w:rsidR="007D6CBF" w:rsidRPr="00EA3C70" w:rsidRDefault="00E97735" w:rsidP="00EA3C70">
      <w:pPr>
        <w:pStyle w:val="Zkladntext2"/>
        <w:rPr>
          <w:rFonts w:ascii="Book Antiqua" w:hAnsi="Book Antiqua" w:cs="Arial"/>
          <w:sz w:val="20"/>
        </w:rPr>
      </w:pPr>
      <w:r w:rsidRPr="00EA3C70">
        <w:rPr>
          <w:rFonts w:ascii="Book Antiqua" w:hAnsi="Book Antiqua" w:cs="Arial"/>
          <w:sz w:val="20"/>
        </w:rPr>
        <w:t>Nabídková cena za stavbu bude uvedena v české měně a bude zpracována podle objektového členění stavby v předepsané struktuře. Dodavatel jako doklad prokazující jeho nabídkovou cenu v nabídce předloží souhrn dokumentů, z nichž vyplývá jeho nabídková cena. V rámci cenové nabídky dodavatel musí předložit</w:t>
      </w:r>
      <w:r w:rsidR="008B3FD3" w:rsidRPr="00EA3C70">
        <w:rPr>
          <w:rFonts w:ascii="Book Antiqua" w:hAnsi="Book Antiqua" w:cs="Arial"/>
          <w:sz w:val="20"/>
        </w:rPr>
        <w:t>:</w:t>
      </w:r>
    </w:p>
    <w:p w14:paraId="64BECF42" w14:textId="77777777" w:rsidR="00E97735" w:rsidRPr="00EA3C70" w:rsidRDefault="00B101CF" w:rsidP="00EA3C70">
      <w:pPr>
        <w:numPr>
          <w:ilvl w:val="0"/>
          <w:numId w:val="5"/>
        </w:numPr>
        <w:tabs>
          <w:tab w:val="clear" w:pos="717"/>
          <w:tab w:val="num" w:pos="426"/>
        </w:tabs>
        <w:ind w:left="426" w:hanging="426"/>
        <w:jc w:val="both"/>
        <w:rPr>
          <w:rFonts w:ascii="Book Antiqua" w:hAnsi="Book Antiqua" w:cs="Arial"/>
        </w:rPr>
      </w:pPr>
      <w:r w:rsidRPr="00EA3C70">
        <w:rPr>
          <w:rFonts w:ascii="Book Antiqua" w:hAnsi="Book Antiqua" w:cs="Arial"/>
        </w:rPr>
        <w:t>r</w:t>
      </w:r>
      <w:r w:rsidR="00E97735" w:rsidRPr="00EA3C70">
        <w:rPr>
          <w:rFonts w:ascii="Book Antiqua" w:hAnsi="Book Antiqua" w:cs="Arial"/>
        </w:rPr>
        <w:t>ekapitulaci celkové ceny stavby, bez DPH, DPH, vč. DPH</w:t>
      </w:r>
      <w:r w:rsidRPr="00EA3C70">
        <w:rPr>
          <w:rFonts w:ascii="Book Antiqua" w:hAnsi="Book Antiqua" w:cs="Arial"/>
        </w:rPr>
        <w:t>.</w:t>
      </w:r>
    </w:p>
    <w:p w14:paraId="07220D84" w14:textId="77777777" w:rsidR="00E97735" w:rsidRPr="00EA3C70" w:rsidRDefault="00B101CF" w:rsidP="00EA3C70">
      <w:pPr>
        <w:numPr>
          <w:ilvl w:val="0"/>
          <w:numId w:val="5"/>
        </w:numPr>
        <w:tabs>
          <w:tab w:val="clear" w:pos="717"/>
          <w:tab w:val="num" w:pos="426"/>
        </w:tabs>
        <w:ind w:left="426" w:hanging="426"/>
        <w:jc w:val="both"/>
        <w:rPr>
          <w:rFonts w:ascii="Book Antiqua" w:hAnsi="Book Antiqua" w:cs="Arial"/>
        </w:rPr>
      </w:pPr>
      <w:r w:rsidRPr="00EA3C70">
        <w:rPr>
          <w:rFonts w:ascii="Book Antiqua" w:hAnsi="Book Antiqua" w:cs="Arial"/>
        </w:rPr>
        <w:t>p</w:t>
      </w:r>
      <w:r w:rsidR="0063698A" w:rsidRPr="00EA3C70">
        <w:rPr>
          <w:rFonts w:ascii="Book Antiqua" w:hAnsi="Book Antiqua" w:cs="Arial"/>
        </w:rPr>
        <w:t>oložkový</w:t>
      </w:r>
      <w:r w:rsidR="00E97735" w:rsidRPr="00EA3C70">
        <w:rPr>
          <w:rFonts w:ascii="Book Antiqua" w:hAnsi="Book Antiqua" w:cs="Arial"/>
        </w:rPr>
        <w:t xml:space="preserve"> rozpoč</w:t>
      </w:r>
      <w:r w:rsidR="0063698A" w:rsidRPr="00EA3C70">
        <w:rPr>
          <w:rFonts w:ascii="Book Antiqua" w:hAnsi="Book Antiqua" w:cs="Arial"/>
        </w:rPr>
        <w:t>et ke</w:t>
      </w:r>
      <w:r w:rsidR="00E97735" w:rsidRPr="00EA3C70">
        <w:rPr>
          <w:rFonts w:ascii="Book Antiqua" w:hAnsi="Book Antiqua" w:cs="Arial"/>
        </w:rPr>
        <w:t xml:space="preserve"> vše</w:t>
      </w:r>
      <w:r w:rsidR="0063698A" w:rsidRPr="00EA3C70">
        <w:rPr>
          <w:rFonts w:ascii="Book Antiqua" w:hAnsi="Book Antiqua" w:cs="Arial"/>
        </w:rPr>
        <w:t>m</w:t>
      </w:r>
      <w:r w:rsidR="00E97735" w:rsidRPr="00EA3C70">
        <w:rPr>
          <w:rFonts w:ascii="Book Antiqua" w:hAnsi="Book Antiqua" w:cs="Arial"/>
        </w:rPr>
        <w:t xml:space="preserve"> stavební</w:t>
      </w:r>
      <w:r w:rsidR="0063698A" w:rsidRPr="00EA3C70">
        <w:rPr>
          <w:rFonts w:ascii="Book Antiqua" w:hAnsi="Book Antiqua" w:cs="Arial"/>
        </w:rPr>
        <w:t>m</w:t>
      </w:r>
      <w:r w:rsidR="00E97735" w:rsidRPr="00EA3C70">
        <w:rPr>
          <w:rFonts w:ascii="Book Antiqua" w:hAnsi="Book Antiqua" w:cs="Arial"/>
        </w:rPr>
        <w:t xml:space="preserve"> objektů</w:t>
      </w:r>
      <w:r w:rsidR="0063698A" w:rsidRPr="00EA3C70">
        <w:rPr>
          <w:rFonts w:ascii="Book Antiqua" w:hAnsi="Book Antiqua" w:cs="Arial"/>
        </w:rPr>
        <w:t>m a popřípadě inženýrským</w:t>
      </w:r>
      <w:r w:rsidR="00E97735" w:rsidRPr="00EA3C70">
        <w:rPr>
          <w:rFonts w:ascii="Book Antiqua" w:hAnsi="Book Antiqua" w:cs="Arial"/>
        </w:rPr>
        <w:t xml:space="preserve"> objektů</w:t>
      </w:r>
      <w:r w:rsidR="0063698A" w:rsidRPr="00EA3C70">
        <w:rPr>
          <w:rFonts w:ascii="Book Antiqua" w:hAnsi="Book Antiqua" w:cs="Arial"/>
        </w:rPr>
        <w:t>m či provozním</w:t>
      </w:r>
      <w:r w:rsidR="00E97735" w:rsidRPr="00EA3C70">
        <w:rPr>
          <w:rFonts w:ascii="Book Antiqua" w:hAnsi="Book Antiqua" w:cs="Arial"/>
        </w:rPr>
        <w:t xml:space="preserve"> souborů</w:t>
      </w:r>
      <w:r w:rsidR="0063698A" w:rsidRPr="00EA3C70">
        <w:rPr>
          <w:rFonts w:ascii="Book Antiqua" w:hAnsi="Book Antiqua" w:cs="Arial"/>
        </w:rPr>
        <w:t>m</w:t>
      </w:r>
      <w:r w:rsidR="00E97735" w:rsidRPr="00EA3C70">
        <w:rPr>
          <w:rFonts w:ascii="Book Antiqua" w:hAnsi="Book Antiqua" w:cs="Arial"/>
        </w:rPr>
        <w:t>, v rozsahu a obsahu před</w:t>
      </w:r>
      <w:r w:rsidR="0063698A" w:rsidRPr="00EA3C70">
        <w:rPr>
          <w:rFonts w:ascii="Book Antiqua" w:hAnsi="Book Antiqua" w:cs="Arial"/>
        </w:rPr>
        <w:t>aného</w:t>
      </w:r>
      <w:r w:rsidR="00E97735" w:rsidRPr="00EA3C70">
        <w:rPr>
          <w:rFonts w:ascii="Book Antiqua" w:hAnsi="Book Antiqua" w:cs="Arial"/>
        </w:rPr>
        <w:t xml:space="preserve"> sou</w:t>
      </w:r>
      <w:r w:rsidR="0063698A" w:rsidRPr="00EA3C70">
        <w:rPr>
          <w:rFonts w:ascii="Book Antiqua" w:hAnsi="Book Antiqua" w:cs="Arial"/>
        </w:rPr>
        <w:t>pisu stavebních prací, dodávek a služeb</w:t>
      </w:r>
      <w:r w:rsidR="00E97735" w:rsidRPr="00EA3C70">
        <w:rPr>
          <w:rFonts w:ascii="Book Antiqua" w:hAnsi="Book Antiqua" w:cs="Arial"/>
        </w:rPr>
        <w:t>.</w:t>
      </w:r>
    </w:p>
    <w:p w14:paraId="406D4211" w14:textId="77777777" w:rsidR="00084243" w:rsidRPr="00EA3C70" w:rsidRDefault="00084243" w:rsidP="00EA3C70">
      <w:pPr>
        <w:ind w:left="426"/>
        <w:jc w:val="both"/>
        <w:rPr>
          <w:rFonts w:ascii="Book Antiqua" w:hAnsi="Book Antiqua" w:cs="Arial"/>
        </w:rPr>
      </w:pPr>
    </w:p>
    <w:p w14:paraId="3A8C5A19" w14:textId="77777777" w:rsidR="0033150A" w:rsidRPr="00EA3C70" w:rsidRDefault="00D50C12" w:rsidP="00EA3C70">
      <w:pPr>
        <w:pStyle w:val="Nadpis2"/>
        <w:spacing w:before="0"/>
        <w:rPr>
          <w:rFonts w:ascii="Book Antiqua" w:hAnsi="Book Antiqua"/>
        </w:rPr>
      </w:pPr>
      <w:r w:rsidRPr="00EA3C70">
        <w:rPr>
          <w:rFonts w:ascii="Book Antiqua" w:hAnsi="Book Antiqua"/>
        </w:rPr>
        <w:t>položkový</w:t>
      </w:r>
      <w:r w:rsidR="00910855" w:rsidRPr="00EA3C70">
        <w:rPr>
          <w:rFonts w:ascii="Book Antiqua" w:hAnsi="Book Antiqua"/>
        </w:rPr>
        <w:t xml:space="preserve"> rozpočet</w:t>
      </w:r>
      <w:r w:rsidR="003423FC" w:rsidRPr="00EA3C70">
        <w:rPr>
          <w:rFonts w:ascii="Book Antiqua" w:hAnsi="Book Antiqua"/>
          <w:lang w:val="cs-CZ"/>
        </w:rPr>
        <w:t xml:space="preserve"> v</w:t>
      </w:r>
      <w:r w:rsidR="0022229D" w:rsidRPr="00EA3C70">
        <w:rPr>
          <w:rFonts w:ascii="Book Antiqua" w:hAnsi="Book Antiqua"/>
          <w:lang w:val="cs-CZ"/>
        </w:rPr>
        <w:t> </w:t>
      </w:r>
      <w:r w:rsidR="003423FC" w:rsidRPr="00EA3C70">
        <w:rPr>
          <w:rFonts w:ascii="Book Antiqua" w:hAnsi="Book Antiqua"/>
          <w:lang w:val="cs-CZ"/>
        </w:rPr>
        <w:t>nabídce</w:t>
      </w:r>
      <w:r w:rsidR="0022229D" w:rsidRPr="00EA3C70">
        <w:rPr>
          <w:rFonts w:ascii="Book Antiqua" w:hAnsi="Book Antiqua"/>
          <w:lang w:val="cs-CZ"/>
        </w:rPr>
        <w:t xml:space="preserve"> dodavatele</w:t>
      </w:r>
    </w:p>
    <w:p w14:paraId="35693558" w14:textId="77777777" w:rsidR="00883C3B" w:rsidRPr="00EA3C70" w:rsidRDefault="00883C3B" w:rsidP="00EA3C70">
      <w:pPr>
        <w:pStyle w:val="Zkladntext2"/>
        <w:rPr>
          <w:rFonts w:ascii="Book Antiqua" w:hAnsi="Book Antiqua" w:cs="Arial"/>
          <w:sz w:val="20"/>
        </w:rPr>
      </w:pPr>
      <w:r w:rsidRPr="00EA3C70">
        <w:rPr>
          <w:rFonts w:ascii="Book Antiqua" w:hAnsi="Book Antiqua" w:cs="Arial"/>
          <w:sz w:val="20"/>
        </w:rPr>
        <w:t xml:space="preserve">Pro předložení položkového rozpočtu v nabídce dodavatele </w:t>
      </w:r>
      <w:r w:rsidR="003A691B" w:rsidRPr="00EA3C70">
        <w:rPr>
          <w:rFonts w:ascii="Book Antiqua" w:hAnsi="Book Antiqua" w:cs="Arial"/>
          <w:sz w:val="20"/>
        </w:rPr>
        <w:t>tedy</w:t>
      </w:r>
      <w:r w:rsidRPr="00EA3C70">
        <w:rPr>
          <w:rFonts w:ascii="Book Antiqua" w:hAnsi="Book Antiqua" w:cs="Arial"/>
          <w:sz w:val="20"/>
        </w:rPr>
        <w:t xml:space="preserve"> platí:</w:t>
      </w:r>
    </w:p>
    <w:p w14:paraId="203036A8" w14:textId="77777777" w:rsidR="00883C3B" w:rsidRPr="00EA3C70" w:rsidRDefault="00883C3B" w:rsidP="00EA3C70">
      <w:pPr>
        <w:numPr>
          <w:ilvl w:val="0"/>
          <w:numId w:val="6"/>
        </w:numPr>
        <w:tabs>
          <w:tab w:val="clear" w:pos="717"/>
          <w:tab w:val="num" w:pos="426"/>
        </w:tabs>
        <w:ind w:left="426" w:hanging="426"/>
        <w:jc w:val="both"/>
        <w:rPr>
          <w:rFonts w:ascii="Book Antiqua" w:hAnsi="Book Antiqua" w:cs="Arial"/>
        </w:rPr>
      </w:pPr>
      <w:r w:rsidRPr="00EA3C70">
        <w:rPr>
          <w:rFonts w:ascii="Book Antiqua" w:hAnsi="Book Antiqua" w:cs="Arial"/>
        </w:rPr>
        <w:t>každý předaný soupis stavebních prací</w:t>
      </w:r>
      <w:r w:rsidR="0022229D" w:rsidRPr="00EA3C70">
        <w:rPr>
          <w:rFonts w:ascii="Book Antiqua" w:hAnsi="Book Antiqua" w:cs="Arial"/>
        </w:rPr>
        <w:t>,</w:t>
      </w:r>
      <w:r w:rsidRPr="00EA3C70">
        <w:rPr>
          <w:rFonts w:ascii="Book Antiqua" w:hAnsi="Book Antiqua" w:cs="Arial"/>
        </w:rPr>
        <w:t xml:space="preserve"> dodávek a služeb předaný zadavatelem v rámci zadávací dokumentace musí být v nabídce dodavatele prokázán položkovým rozpočtem, </w:t>
      </w:r>
    </w:p>
    <w:p w14:paraId="74AD7BA8" w14:textId="77777777" w:rsidR="00883C3B" w:rsidRPr="00EA3C70" w:rsidRDefault="00883C3B" w:rsidP="00EA3C70">
      <w:pPr>
        <w:numPr>
          <w:ilvl w:val="0"/>
          <w:numId w:val="6"/>
        </w:numPr>
        <w:tabs>
          <w:tab w:val="clear" w:pos="717"/>
          <w:tab w:val="num" w:pos="426"/>
        </w:tabs>
        <w:ind w:left="426" w:hanging="426"/>
        <w:jc w:val="both"/>
        <w:rPr>
          <w:rFonts w:ascii="Book Antiqua" w:hAnsi="Book Antiqua" w:cs="Arial"/>
        </w:rPr>
      </w:pPr>
      <w:r w:rsidRPr="00EA3C70">
        <w:rPr>
          <w:rFonts w:ascii="Book Antiqua" w:hAnsi="Book Antiqua" w:cs="Arial"/>
        </w:rPr>
        <w:t xml:space="preserve">položkový rozpočet musí </w:t>
      </w:r>
      <w:proofErr w:type="gramStart"/>
      <w:r w:rsidRPr="00EA3C70">
        <w:rPr>
          <w:rFonts w:ascii="Book Antiqua" w:hAnsi="Book Antiqua" w:cs="Arial"/>
        </w:rPr>
        <w:t>svoji</w:t>
      </w:r>
      <w:proofErr w:type="gramEnd"/>
      <w:r w:rsidRPr="00EA3C70">
        <w:rPr>
          <w:rFonts w:ascii="Book Antiqua" w:hAnsi="Book Antiqua" w:cs="Arial"/>
        </w:rPr>
        <w:t xml:space="preserve"> strukturou, formátem a obsahem odpovídat příslušnému soupisu, změny v kterékoliv části položky jsou nepřípustné. Změna struktury či obsahu soupisu je nepřípustná,</w:t>
      </w:r>
    </w:p>
    <w:p w14:paraId="3E6DD7D0" w14:textId="77777777" w:rsidR="00883C3B" w:rsidRPr="00EA3C70" w:rsidRDefault="00883C3B" w:rsidP="00EA3C70">
      <w:pPr>
        <w:numPr>
          <w:ilvl w:val="0"/>
          <w:numId w:val="6"/>
        </w:numPr>
        <w:tabs>
          <w:tab w:val="clear" w:pos="717"/>
          <w:tab w:val="num" w:pos="426"/>
        </w:tabs>
        <w:ind w:left="426" w:hanging="426"/>
        <w:jc w:val="both"/>
        <w:rPr>
          <w:rFonts w:ascii="Book Antiqua" w:hAnsi="Book Antiqua" w:cs="Arial"/>
        </w:rPr>
      </w:pPr>
      <w:r w:rsidRPr="00EA3C70">
        <w:rPr>
          <w:rFonts w:ascii="Book Antiqua" w:hAnsi="Book Antiqua" w:cs="Arial"/>
        </w:rPr>
        <w:t>veškeré cenové údaje musí být uvedeny v Kč, jednotkové ceny položek stavebních prací nejvýše na dvě desetinná místa (uvedení vyššího počtu desetinných míst není porušením zadávacích podmínek),</w:t>
      </w:r>
    </w:p>
    <w:p w14:paraId="16FD231A" w14:textId="77777777" w:rsidR="00883C3B" w:rsidRPr="00EA3C70" w:rsidRDefault="00883C3B" w:rsidP="00EA3C70">
      <w:pPr>
        <w:numPr>
          <w:ilvl w:val="0"/>
          <w:numId w:val="6"/>
        </w:numPr>
        <w:tabs>
          <w:tab w:val="clear" w:pos="717"/>
          <w:tab w:val="num" w:pos="426"/>
        </w:tabs>
        <w:ind w:left="426" w:hanging="426"/>
        <w:jc w:val="both"/>
        <w:rPr>
          <w:rFonts w:ascii="Book Antiqua" w:hAnsi="Book Antiqua" w:cs="Arial"/>
        </w:rPr>
      </w:pPr>
      <w:r w:rsidRPr="00EA3C70">
        <w:rPr>
          <w:rFonts w:ascii="Book Antiqua" w:hAnsi="Book Antiqua" w:cs="Arial"/>
        </w:rPr>
        <w:t xml:space="preserve">každá položka soupisu musí být oceněna (není-li </w:t>
      </w:r>
      <w:r w:rsidR="003C232D" w:rsidRPr="00EA3C70">
        <w:rPr>
          <w:rFonts w:ascii="Book Antiqua" w:hAnsi="Book Antiqua" w:cs="Arial"/>
        </w:rPr>
        <w:t>v soupisu, resp. v zadávací dokumentaci uvedeno jinak</w:t>
      </w:r>
      <w:r w:rsidR="00CF04BE" w:rsidRPr="00EA3C70">
        <w:rPr>
          <w:rFonts w:ascii="Book Antiqua" w:hAnsi="Book Antiqua" w:cs="Arial"/>
        </w:rPr>
        <w:t>), a to alespoň v úrovni ekonomicky nutných nákladů,</w:t>
      </w:r>
    </w:p>
    <w:p w14:paraId="08385C70" w14:textId="77777777" w:rsidR="00883C3B" w:rsidRPr="00EA3C70" w:rsidRDefault="00883C3B" w:rsidP="00EA3C70">
      <w:pPr>
        <w:numPr>
          <w:ilvl w:val="0"/>
          <w:numId w:val="6"/>
        </w:numPr>
        <w:tabs>
          <w:tab w:val="clear" w:pos="717"/>
          <w:tab w:val="num" w:pos="426"/>
        </w:tabs>
        <w:ind w:left="426" w:hanging="426"/>
        <w:jc w:val="both"/>
        <w:rPr>
          <w:rFonts w:ascii="Book Antiqua" w:hAnsi="Book Antiqua" w:cs="Arial"/>
        </w:rPr>
      </w:pPr>
      <w:r w:rsidRPr="00EA3C70">
        <w:rPr>
          <w:rFonts w:ascii="Book Antiqua" w:hAnsi="Book Antiqua" w:cs="Arial"/>
        </w:rPr>
        <w:t>vypočtené cenové údaje, jako celková cena položky, mezisoučty a součty v rámci rekapitulací, musí být matematicky správně.</w:t>
      </w:r>
    </w:p>
    <w:p w14:paraId="753EECCE" w14:textId="77777777" w:rsidR="004F1DEF" w:rsidRPr="00EA3C70" w:rsidRDefault="004F1DEF" w:rsidP="00EA3C70">
      <w:pPr>
        <w:autoSpaceDE w:val="0"/>
        <w:autoSpaceDN w:val="0"/>
        <w:adjustRightInd w:val="0"/>
        <w:jc w:val="both"/>
        <w:rPr>
          <w:rFonts w:ascii="Book Antiqua" w:hAnsi="Book Antiqua" w:cs="Arial"/>
          <w:strike/>
          <w:color w:val="FF0000"/>
        </w:rPr>
      </w:pPr>
    </w:p>
    <w:p w14:paraId="0A0F9CEA" w14:textId="77777777" w:rsidR="00491A0F" w:rsidRPr="00EA3C70" w:rsidRDefault="00491A0F" w:rsidP="00EA3C70">
      <w:pPr>
        <w:autoSpaceDE w:val="0"/>
        <w:autoSpaceDN w:val="0"/>
        <w:adjustRightInd w:val="0"/>
        <w:jc w:val="both"/>
        <w:rPr>
          <w:rFonts w:ascii="Book Antiqua" w:hAnsi="Book Antiqua" w:cs="Arial"/>
          <w:strike/>
          <w:color w:val="FF0000"/>
        </w:rPr>
      </w:pPr>
    </w:p>
    <w:sectPr w:rsidR="00491A0F" w:rsidRPr="00EA3C70">
      <w:headerReference w:type="even" r:id="rId11"/>
      <w:headerReference w:type="default" r:id="rId12"/>
      <w:footerReference w:type="even" r:id="rId13"/>
      <w:footerReference w:type="default" r:id="rId14"/>
      <w:headerReference w:type="first" r:id="rId15"/>
      <w:footerReference w:type="first" r:id="rId16"/>
      <w:pgSz w:w="11906" w:h="16838" w:code="9"/>
      <w:pgMar w:top="1440" w:right="1700" w:bottom="1134" w:left="1418" w:header="709" w:footer="851" w:gutter="0"/>
      <w:pgNumType w:start="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97DE4D" w14:textId="77777777" w:rsidR="009C5BC7" w:rsidRDefault="009C5BC7">
      <w:r>
        <w:separator/>
      </w:r>
    </w:p>
  </w:endnote>
  <w:endnote w:type="continuationSeparator" w:id="0">
    <w:p w14:paraId="072FF073" w14:textId="77777777" w:rsidR="009C5BC7" w:rsidRDefault="009C5B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61ABB" w14:textId="77777777" w:rsidR="00627AF2" w:rsidRDefault="00627AF2">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2EDC724B" w14:textId="77777777" w:rsidR="00627AF2" w:rsidRDefault="00627AF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C53C1" w14:textId="77777777" w:rsidR="00627AF2" w:rsidRDefault="00627AF2">
    <w:pPr>
      <w:pStyle w:val="Zpat"/>
      <w:framePr w:wrap="around" w:vAnchor="text" w:hAnchor="margin" w:xAlign="center" w:y="1"/>
      <w:rPr>
        <w:rStyle w:val="slostrnky"/>
      </w:rPr>
    </w:pPr>
  </w:p>
  <w:p w14:paraId="1435E65D" w14:textId="77777777" w:rsidR="00627AF2" w:rsidRDefault="00D749B1">
    <w:pPr>
      <w:pStyle w:val="Zpat"/>
      <w:tabs>
        <w:tab w:val="clear" w:pos="4536"/>
        <w:tab w:val="clear" w:pos="9072"/>
      </w:tabs>
      <w:rPr>
        <w:rFonts w:ascii="Arial" w:hAnsi="Arial"/>
        <w:noProof/>
        <w:snapToGrid w:val="0"/>
      </w:rPr>
    </w:pPr>
    <w:r>
      <w:rPr>
        <w:rFonts w:ascii="Arial" w:hAnsi="Arial"/>
        <w:noProof/>
      </w:rPr>
      <w:pict w14:anchorId="3A42ED05">
        <v:line id="_x0000_s1027" style="position:absolute;z-index:251658240" from="-2.4pt,2.6pt" to="429.6pt,2.6pt" o:allowincell="f" strokecolor="#339" strokeweight=".25pt">
          <w10:wrap type="topAndBottom"/>
        </v:lin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24067" w14:textId="77777777" w:rsidR="00D749B1" w:rsidRDefault="00D749B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4CE7DD" w14:textId="77777777" w:rsidR="009C5BC7" w:rsidRDefault="009C5BC7">
      <w:r>
        <w:separator/>
      </w:r>
    </w:p>
  </w:footnote>
  <w:footnote w:type="continuationSeparator" w:id="0">
    <w:p w14:paraId="20725DED" w14:textId="77777777" w:rsidR="009C5BC7" w:rsidRDefault="009C5B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045AD" w14:textId="77777777" w:rsidR="00D749B1" w:rsidRDefault="00D749B1">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48AB9" w14:textId="2A538593" w:rsidR="00627AF2" w:rsidRPr="00EA3C70" w:rsidRDefault="00D749B1" w:rsidP="00EA3C70">
    <w:pPr>
      <w:pStyle w:val="Zhlav"/>
      <w:tabs>
        <w:tab w:val="clear" w:pos="4536"/>
        <w:tab w:val="center" w:pos="6663"/>
      </w:tabs>
      <w:jc w:val="both"/>
      <w:rPr>
        <w:rFonts w:ascii="Book Antiqua" w:hAnsi="Book Antiqua"/>
      </w:rPr>
    </w:pPr>
    <w:r>
      <w:rPr>
        <w:rFonts w:ascii="Book Antiqua" w:hAnsi="Book Antiqua"/>
        <w:noProof/>
      </w:rPr>
      <w:pict w14:anchorId="03E9C54E">
        <v:line id="_x0000_s1026" style="position:absolute;left:0;text-align:left;z-index:251657216" from="-3.4pt,29.55pt" to="428.6pt,29.55pt" o:allowincell="f" strokecolor="#339" strokeweight=".25pt">
          <w10:wrap type="topAndBottom"/>
        </v:line>
      </w:pict>
    </w:r>
    <w:r w:rsidR="00EA3C70" w:rsidRPr="00EA3C70">
      <w:rPr>
        <w:rFonts w:ascii="Book Antiqua" w:hAnsi="Book Antiqua"/>
        <w:sz w:val="22"/>
        <w:szCs w:val="22"/>
      </w:rPr>
      <w:t xml:space="preserve"> </w:t>
    </w:r>
    <w:r w:rsidR="00EA3C70" w:rsidRPr="00EA3C70">
      <w:rPr>
        <w:rFonts w:ascii="Book Antiqua" w:hAnsi="Book Antiqua"/>
        <w:noProof/>
      </w:rPr>
      <w:t>Příloha č. 2 - Technické podmínky a Podmínky a požadavky pro jednotný způsob zpracování nabídkové ceny</w:t>
    </w:r>
  </w:p>
  <w:p w14:paraId="7DEAE692" w14:textId="77777777" w:rsidR="00627AF2" w:rsidRDefault="00627AF2">
    <w:pPr>
      <w:pStyle w:val="Zkladntext"/>
      <w:ind w:left="1440" w:firstLine="720"/>
      <w:rPr>
        <w:rFonts w:ascii="Arial" w:hAnsi="Arial"/>
        <w:b w:val="0"/>
        <w:sz w:val="18"/>
        <w:u w:val="none"/>
      </w:rPr>
    </w:pPr>
    <w:r>
      <w:rPr>
        <w:rFonts w:ascii="Arial" w:hAnsi="Arial" w:cs="Arial"/>
        <w:b w:val="0"/>
        <w:bCs/>
        <w:sz w:val="18"/>
        <w:u w:val="none"/>
      </w:rPr>
      <w:t xml:space="preserve">     </w:t>
    </w:r>
    <w:r>
      <w:rPr>
        <w:rFonts w:ascii="Arial" w:hAnsi="Arial" w:cs="Arial"/>
        <w:b w:val="0"/>
        <w:bCs/>
        <w:sz w:val="18"/>
        <w:u w:val="none"/>
      </w:rPr>
      <w:tab/>
    </w:r>
    <w:r>
      <w:rPr>
        <w:rFonts w:ascii="Arial" w:hAnsi="Arial" w:cs="Arial"/>
        <w:b w:val="0"/>
        <w:bCs/>
        <w:sz w:val="18"/>
        <w:u w:val="none"/>
      </w:rPr>
      <w:tab/>
    </w:r>
    <w:r>
      <w:rPr>
        <w:rFonts w:ascii="Arial" w:hAnsi="Arial" w:cs="Arial"/>
        <w:b w:val="0"/>
        <w:bCs/>
        <w:sz w:val="18"/>
        <w:u w:val="none"/>
      </w:rPr>
      <w:tab/>
    </w:r>
    <w:r>
      <w:rPr>
        <w:rFonts w:ascii="Arial" w:hAnsi="Arial" w:cs="Arial"/>
        <w:b w:val="0"/>
        <w:bCs/>
        <w:sz w:val="18"/>
        <w:u w:val="none"/>
      </w:rPr>
      <w:tab/>
    </w:r>
  </w:p>
  <w:p w14:paraId="379C698C" w14:textId="77777777" w:rsidR="00627AF2" w:rsidRDefault="00627AF2">
    <w:pPr>
      <w:pStyle w:val="Zhlav"/>
      <w:tabs>
        <w:tab w:val="clear" w:pos="4536"/>
        <w:tab w:val="center" w:pos="6663"/>
      </w:tabs>
      <w:rPr>
        <w:rFonts w:ascii="Arial" w:hAnsi="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E7430" w14:textId="494BD2F8" w:rsidR="00EA3C70" w:rsidRPr="00EA3C70" w:rsidRDefault="00EA3C70">
    <w:pPr>
      <w:pStyle w:val="Zhlav"/>
      <w:rPr>
        <w:rFonts w:ascii="Book Antiqua" w:hAnsi="Book Antiqua"/>
      </w:rPr>
    </w:pPr>
    <w:r w:rsidRPr="00EA3C70">
      <w:rPr>
        <w:rFonts w:ascii="Book Antiqua" w:hAnsi="Book Antiqua"/>
      </w:rPr>
      <w:t>Příloha č. 2 - Technické podmínky a Podmínky a požadavky pro jednotný způsob zpracování nabídkové ceny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73A7F"/>
    <w:multiLevelType w:val="hybridMultilevel"/>
    <w:tmpl w:val="C74654B2"/>
    <w:lvl w:ilvl="0" w:tplc="778805EE">
      <w:start w:val="1"/>
      <w:numFmt w:val="lowerLetter"/>
      <w:lvlText w:val="%1)"/>
      <w:lvlJc w:val="left"/>
      <w:pPr>
        <w:tabs>
          <w:tab w:val="num" w:pos="717"/>
        </w:tabs>
        <w:ind w:left="717" w:hanging="360"/>
      </w:pPr>
      <w:rPr>
        <w:rFonts w:hint="default"/>
      </w:rPr>
    </w:lvl>
    <w:lvl w:ilvl="1" w:tplc="04050019" w:tentative="1">
      <w:start w:val="1"/>
      <w:numFmt w:val="lowerLetter"/>
      <w:lvlText w:val="%2."/>
      <w:lvlJc w:val="left"/>
      <w:pPr>
        <w:tabs>
          <w:tab w:val="num" w:pos="1437"/>
        </w:tabs>
        <w:ind w:left="1437" w:hanging="360"/>
      </w:pPr>
    </w:lvl>
    <w:lvl w:ilvl="2" w:tplc="0405001B" w:tentative="1">
      <w:start w:val="1"/>
      <w:numFmt w:val="lowerRoman"/>
      <w:lvlText w:val="%3."/>
      <w:lvlJc w:val="right"/>
      <w:pPr>
        <w:tabs>
          <w:tab w:val="num" w:pos="2157"/>
        </w:tabs>
        <w:ind w:left="2157" w:hanging="180"/>
      </w:pPr>
    </w:lvl>
    <w:lvl w:ilvl="3" w:tplc="0405000F" w:tentative="1">
      <w:start w:val="1"/>
      <w:numFmt w:val="decimal"/>
      <w:lvlText w:val="%4."/>
      <w:lvlJc w:val="left"/>
      <w:pPr>
        <w:tabs>
          <w:tab w:val="num" w:pos="2877"/>
        </w:tabs>
        <w:ind w:left="2877" w:hanging="360"/>
      </w:pPr>
    </w:lvl>
    <w:lvl w:ilvl="4" w:tplc="04050019" w:tentative="1">
      <w:start w:val="1"/>
      <w:numFmt w:val="lowerLetter"/>
      <w:lvlText w:val="%5."/>
      <w:lvlJc w:val="left"/>
      <w:pPr>
        <w:tabs>
          <w:tab w:val="num" w:pos="3597"/>
        </w:tabs>
        <w:ind w:left="3597" w:hanging="360"/>
      </w:pPr>
    </w:lvl>
    <w:lvl w:ilvl="5" w:tplc="0405001B" w:tentative="1">
      <w:start w:val="1"/>
      <w:numFmt w:val="lowerRoman"/>
      <w:lvlText w:val="%6."/>
      <w:lvlJc w:val="right"/>
      <w:pPr>
        <w:tabs>
          <w:tab w:val="num" w:pos="4317"/>
        </w:tabs>
        <w:ind w:left="4317" w:hanging="180"/>
      </w:pPr>
    </w:lvl>
    <w:lvl w:ilvl="6" w:tplc="0405000F" w:tentative="1">
      <w:start w:val="1"/>
      <w:numFmt w:val="decimal"/>
      <w:lvlText w:val="%7."/>
      <w:lvlJc w:val="left"/>
      <w:pPr>
        <w:tabs>
          <w:tab w:val="num" w:pos="5037"/>
        </w:tabs>
        <w:ind w:left="5037" w:hanging="360"/>
      </w:pPr>
    </w:lvl>
    <w:lvl w:ilvl="7" w:tplc="04050019" w:tentative="1">
      <w:start w:val="1"/>
      <w:numFmt w:val="lowerLetter"/>
      <w:lvlText w:val="%8."/>
      <w:lvlJc w:val="left"/>
      <w:pPr>
        <w:tabs>
          <w:tab w:val="num" w:pos="5757"/>
        </w:tabs>
        <w:ind w:left="5757" w:hanging="360"/>
      </w:pPr>
    </w:lvl>
    <w:lvl w:ilvl="8" w:tplc="0405001B" w:tentative="1">
      <w:start w:val="1"/>
      <w:numFmt w:val="lowerRoman"/>
      <w:lvlText w:val="%9."/>
      <w:lvlJc w:val="right"/>
      <w:pPr>
        <w:tabs>
          <w:tab w:val="num" w:pos="6477"/>
        </w:tabs>
        <w:ind w:left="6477" w:hanging="180"/>
      </w:pPr>
    </w:lvl>
  </w:abstractNum>
  <w:abstractNum w:abstractNumId="1" w15:restartNumberingAfterBreak="0">
    <w:nsid w:val="0BD50CBE"/>
    <w:multiLevelType w:val="multilevel"/>
    <w:tmpl w:val="6AB413FE"/>
    <w:lvl w:ilvl="0">
      <w:start w:val="1"/>
      <w:numFmt w:val="decimal"/>
      <w:pStyle w:val="Nadpis1"/>
      <w:lvlText w:val="%1."/>
      <w:lvlJc w:val="left"/>
      <w:pPr>
        <w:tabs>
          <w:tab w:val="num" w:pos="567"/>
        </w:tabs>
        <w:ind w:left="567" w:hanging="567"/>
      </w:pPr>
      <w:rPr>
        <w:rFonts w:hint="default"/>
      </w:rPr>
    </w:lvl>
    <w:lvl w:ilvl="1">
      <w:start w:val="1"/>
      <w:numFmt w:val="decimal"/>
      <w:pStyle w:val="Nadpis2"/>
      <w:lvlText w:val="%1.%2."/>
      <w:lvlJc w:val="left"/>
      <w:pPr>
        <w:ind w:left="1560" w:hanging="850"/>
      </w:pPr>
      <w:rPr>
        <w:rFonts w:hint="default"/>
        <w:sz w:val="24"/>
        <w:szCs w:val="24"/>
      </w:rPr>
    </w:lvl>
    <w:lvl w:ilvl="2">
      <w:start w:val="1"/>
      <w:numFmt w:val="decimal"/>
      <w:pStyle w:val="Nadpis3"/>
      <w:lvlText w:val="%1.%2.%3."/>
      <w:lvlJc w:val="left"/>
      <w:pPr>
        <w:tabs>
          <w:tab w:val="num" w:pos="1134"/>
        </w:tabs>
        <w:ind w:left="1134" w:hanging="1134"/>
      </w:pPr>
      <w:rPr>
        <w:rFonts w:hint="default"/>
      </w:rPr>
    </w:lvl>
    <w:lvl w:ilvl="3">
      <w:start w:val="1"/>
      <w:numFmt w:val="decimal"/>
      <w:pStyle w:val="Nadpis4"/>
      <w:lvlText w:val="%1.%2.%3.%4."/>
      <w:lvlJc w:val="left"/>
      <w:pPr>
        <w:tabs>
          <w:tab w:val="num" w:pos="1701"/>
        </w:tabs>
        <w:ind w:left="1701" w:hanging="1134"/>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62E181E"/>
    <w:multiLevelType w:val="multilevel"/>
    <w:tmpl w:val="115C3DB8"/>
    <w:lvl w:ilvl="0">
      <w:start w:val="1"/>
      <w:numFmt w:val="decimal"/>
      <w:lvlText w:val="%1."/>
      <w:lvlJc w:val="left"/>
      <w:pPr>
        <w:tabs>
          <w:tab w:val="num" w:pos="717"/>
        </w:tabs>
        <w:ind w:left="717"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pStyle w:val="Obsah1"/>
      <w:isLgl/>
      <w:lvlText w:val="%3."/>
      <w:lvlJc w:val="left"/>
      <w:pPr>
        <w:tabs>
          <w:tab w:val="num" w:pos="1083"/>
        </w:tabs>
        <w:ind w:left="1083" w:hanging="720"/>
      </w:pPr>
      <w:rPr>
        <w:rFonts w:ascii="Arial" w:eastAsia="Times New Roman" w:hAnsi="Arial" w:cs="Times New Roman"/>
        <w:b w:val="0"/>
      </w:rPr>
    </w:lvl>
    <w:lvl w:ilvl="3">
      <w:start w:val="1"/>
      <w:numFmt w:val="decimal"/>
      <w:isLgl/>
      <w:lvlText w:val="%1.%2.%3.%4."/>
      <w:lvlJc w:val="left"/>
      <w:pPr>
        <w:tabs>
          <w:tab w:val="num" w:pos="1446"/>
        </w:tabs>
        <w:ind w:left="1446" w:hanging="1080"/>
      </w:pPr>
      <w:rPr>
        <w:rFonts w:hint="default"/>
      </w:rPr>
    </w:lvl>
    <w:lvl w:ilvl="4">
      <w:start w:val="1"/>
      <w:numFmt w:val="decimal"/>
      <w:isLgl/>
      <w:lvlText w:val="%1.%2.%3.%4.%5."/>
      <w:lvlJc w:val="left"/>
      <w:pPr>
        <w:tabs>
          <w:tab w:val="num" w:pos="1809"/>
        </w:tabs>
        <w:ind w:left="1809" w:hanging="1440"/>
      </w:pPr>
      <w:rPr>
        <w:rFonts w:hint="default"/>
      </w:rPr>
    </w:lvl>
    <w:lvl w:ilvl="5">
      <w:start w:val="1"/>
      <w:numFmt w:val="decimal"/>
      <w:isLgl/>
      <w:lvlText w:val="%1.%2.%3.%4.%5.%6."/>
      <w:lvlJc w:val="left"/>
      <w:pPr>
        <w:tabs>
          <w:tab w:val="num" w:pos="1812"/>
        </w:tabs>
        <w:ind w:left="1812" w:hanging="1440"/>
      </w:pPr>
      <w:rPr>
        <w:rFonts w:hint="default"/>
      </w:rPr>
    </w:lvl>
    <w:lvl w:ilvl="6">
      <w:start w:val="1"/>
      <w:numFmt w:val="decimal"/>
      <w:isLgl/>
      <w:lvlText w:val="%1.%2.%3.%4.%5.%6.%7."/>
      <w:lvlJc w:val="left"/>
      <w:pPr>
        <w:tabs>
          <w:tab w:val="num" w:pos="2175"/>
        </w:tabs>
        <w:ind w:left="2175" w:hanging="1800"/>
      </w:pPr>
      <w:rPr>
        <w:rFonts w:hint="default"/>
      </w:rPr>
    </w:lvl>
    <w:lvl w:ilvl="7">
      <w:start w:val="1"/>
      <w:numFmt w:val="decimal"/>
      <w:isLgl/>
      <w:lvlText w:val="%1.%2.%3.%4.%5.%6.%7.%8."/>
      <w:lvlJc w:val="left"/>
      <w:pPr>
        <w:tabs>
          <w:tab w:val="num" w:pos="2538"/>
        </w:tabs>
        <w:ind w:left="2538" w:hanging="2160"/>
      </w:pPr>
      <w:rPr>
        <w:rFonts w:hint="default"/>
      </w:rPr>
    </w:lvl>
    <w:lvl w:ilvl="8">
      <w:start w:val="1"/>
      <w:numFmt w:val="decimal"/>
      <w:isLgl/>
      <w:lvlText w:val="%1.%2.%3.%4.%5.%6.%7.%8.%9."/>
      <w:lvlJc w:val="left"/>
      <w:pPr>
        <w:tabs>
          <w:tab w:val="num" w:pos="2541"/>
        </w:tabs>
        <w:ind w:left="2541" w:hanging="2160"/>
      </w:pPr>
      <w:rPr>
        <w:rFonts w:hint="default"/>
      </w:rPr>
    </w:lvl>
  </w:abstractNum>
  <w:abstractNum w:abstractNumId="3" w15:restartNumberingAfterBreak="0">
    <w:nsid w:val="178C17FB"/>
    <w:multiLevelType w:val="hybridMultilevel"/>
    <w:tmpl w:val="38F21532"/>
    <w:lvl w:ilvl="0" w:tplc="3CA2858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79E43D0"/>
    <w:multiLevelType w:val="hybridMultilevel"/>
    <w:tmpl w:val="70D8773C"/>
    <w:lvl w:ilvl="0" w:tplc="778805EE">
      <w:start w:val="1"/>
      <w:numFmt w:val="lowerLetter"/>
      <w:lvlText w:val="%1)"/>
      <w:lvlJc w:val="left"/>
      <w:pPr>
        <w:tabs>
          <w:tab w:val="num" w:pos="717"/>
        </w:tabs>
        <w:ind w:left="717"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27C31CD8"/>
    <w:multiLevelType w:val="multilevel"/>
    <w:tmpl w:val="3A984DA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6" w15:restartNumberingAfterBreak="0">
    <w:nsid w:val="2DD167DA"/>
    <w:multiLevelType w:val="hybridMultilevel"/>
    <w:tmpl w:val="E9BC841C"/>
    <w:lvl w:ilvl="0" w:tplc="645EEA8E">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39C32A31"/>
    <w:multiLevelType w:val="hybridMultilevel"/>
    <w:tmpl w:val="8F30CCC4"/>
    <w:lvl w:ilvl="0" w:tplc="3F1A13D6">
      <w:start w:val="1"/>
      <w:numFmt w:val="lowerLetter"/>
      <w:lvlText w:val="%1)"/>
      <w:lvlJc w:val="left"/>
      <w:pPr>
        <w:tabs>
          <w:tab w:val="num" w:pos="720"/>
        </w:tabs>
        <w:ind w:left="720" w:hanging="360"/>
      </w:pPr>
      <w:rPr>
        <w:rFonts w:hint="default"/>
        <w:strike w:val="0"/>
      </w:rPr>
    </w:lvl>
    <w:lvl w:ilvl="1" w:tplc="04050019" w:tentative="1">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 w15:restartNumberingAfterBreak="0">
    <w:nsid w:val="436410ED"/>
    <w:multiLevelType w:val="hybridMultilevel"/>
    <w:tmpl w:val="14708B14"/>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15:restartNumberingAfterBreak="0">
    <w:nsid w:val="5DA12E1B"/>
    <w:multiLevelType w:val="hybridMultilevel"/>
    <w:tmpl w:val="D74035A0"/>
    <w:lvl w:ilvl="0" w:tplc="FFFFFFFF">
      <w:start w:val="1"/>
      <w:numFmt w:val="lowerLetter"/>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692F788F"/>
    <w:multiLevelType w:val="hybridMultilevel"/>
    <w:tmpl w:val="94642F2A"/>
    <w:lvl w:ilvl="0" w:tplc="FA88DDC0">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pStyle w:val="Textbodu"/>
      <w:lvlText w:val="%9."/>
      <w:lvlJc w:val="left"/>
      <w:pPr>
        <w:tabs>
          <w:tab w:val="num" w:pos="851"/>
        </w:tabs>
        <w:ind w:left="851" w:hanging="426"/>
      </w:pPr>
    </w:lvl>
  </w:abstractNum>
  <w:abstractNum w:abstractNumId="13" w15:restartNumberingAfterBreak="0">
    <w:nsid w:val="6C913B51"/>
    <w:multiLevelType w:val="multilevel"/>
    <w:tmpl w:val="F0EC4B16"/>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428"/>
        </w:tabs>
        <w:ind w:left="1428" w:hanging="720"/>
      </w:pPr>
      <w:rPr>
        <w:rFonts w:hint="default"/>
      </w:rPr>
    </w:lvl>
    <w:lvl w:ilvl="2">
      <w:start w:val="1"/>
      <w:numFmt w:val="decimal"/>
      <w:isLgl/>
      <w:lvlText w:val="%1.%2.%3."/>
      <w:lvlJc w:val="left"/>
      <w:pPr>
        <w:tabs>
          <w:tab w:val="num" w:pos="1855"/>
        </w:tabs>
        <w:ind w:left="1855" w:hanging="720"/>
      </w:pPr>
      <w:rPr>
        <w:rFonts w:hint="default"/>
      </w:rPr>
    </w:lvl>
    <w:lvl w:ilvl="3">
      <w:start w:val="1"/>
      <w:numFmt w:val="decimal"/>
      <w:isLgl/>
      <w:lvlText w:val="%1.%2.%3.%4."/>
      <w:lvlJc w:val="left"/>
      <w:pPr>
        <w:tabs>
          <w:tab w:val="num" w:pos="2484"/>
        </w:tabs>
        <w:ind w:left="2484" w:hanging="1080"/>
      </w:pPr>
      <w:rPr>
        <w:rFonts w:hint="default"/>
        <w:b w:val="0"/>
        <w:color w:val="auto"/>
        <w:sz w:val="20"/>
        <w:szCs w:val="20"/>
      </w:rPr>
    </w:lvl>
    <w:lvl w:ilvl="4">
      <w:start w:val="1"/>
      <w:numFmt w:val="decimal"/>
      <w:isLgl/>
      <w:lvlText w:val="%1.%2.%3.%4.%5."/>
      <w:lvlJc w:val="left"/>
      <w:pPr>
        <w:tabs>
          <w:tab w:val="num" w:pos="2832"/>
        </w:tabs>
        <w:ind w:left="2832" w:hanging="1080"/>
      </w:pPr>
      <w:rPr>
        <w:rFonts w:hint="default"/>
      </w:rPr>
    </w:lvl>
    <w:lvl w:ilvl="5">
      <w:start w:val="1"/>
      <w:numFmt w:val="decimal"/>
      <w:isLgl/>
      <w:lvlText w:val="%1.%2.%3.%4.%5.%6."/>
      <w:lvlJc w:val="left"/>
      <w:pPr>
        <w:tabs>
          <w:tab w:val="num" w:pos="3540"/>
        </w:tabs>
        <w:ind w:left="3540" w:hanging="1440"/>
      </w:pPr>
      <w:rPr>
        <w:rFonts w:hint="default"/>
      </w:rPr>
    </w:lvl>
    <w:lvl w:ilvl="6">
      <w:start w:val="1"/>
      <w:numFmt w:val="decimal"/>
      <w:isLgl/>
      <w:lvlText w:val="%1.%2.%3.%4.%5.%6.%7."/>
      <w:lvlJc w:val="left"/>
      <w:pPr>
        <w:tabs>
          <w:tab w:val="num" w:pos="3888"/>
        </w:tabs>
        <w:ind w:left="3888" w:hanging="1440"/>
      </w:pPr>
      <w:rPr>
        <w:rFonts w:hint="default"/>
      </w:rPr>
    </w:lvl>
    <w:lvl w:ilvl="7">
      <w:start w:val="1"/>
      <w:numFmt w:val="decimal"/>
      <w:isLgl/>
      <w:lvlText w:val="%1.%2.%3.%4.%5.%6.%7.%8."/>
      <w:lvlJc w:val="left"/>
      <w:pPr>
        <w:tabs>
          <w:tab w:val="num" w:pos="4596"/>
        </w:tabs>
        <w:ind w:left="4596" w:hanging="1800"/>
      </w:pPr>
      <w:rPr>
        <w:rFonts w:hint="default"/>
      </w:rPr>
    </w:lvl>
    <w:lvl w:ilvl="8">
      <w:start w:val="1"/>
      <w:numFmt w:val="decimal"/>
      <w:isLgl/>
      <w:lvlText w:val="%1.%2.%3.%4.%5.%6.%7.%8.%9."/>
      <w:lvlJc w:val="left"/>
      <w:pPr>
        <w:tabs>
          <w:tab w:val="num" w:pos="5304"/>
        </w:tabs>
        <w:ind w:left="5304" w:hanging="2160"/>
      </w:pPr>
      <w:rPr>
        <w:rFonts w:hint="default"/>
      </w:rPr>
    </w:lvl>
  </w:abstractNum>
  <w:num w:numId="1" w16cid:durableId="1956134707">
    <w:abstractNumId w:val="5"/>
  </w:num>
  <w:num w:numId="2" w16cid:durableId="1456096292">
    <w:abstractNumId w:val="12"/>
  </w:num>
  <w:num w:numId="3" w16cid:durableId="1365522851">
    <w:abstractNumId w:val="2"/>
  </w:num>
  <w:num w:numId="4" w16cid:durableId="1694382107">
    <w:abstractNumId w:val="10"/>
  </w:num>
  <w:num w:numId="5" w16cid:durableId="422191397">
    <w:abstractNumId w:val="0"/>
  </w:num>
  <w:num w:numId="6" w16cid:durableId="1115514771">
    <w:abstractNumId w:val="4"/>
  </w:num>
  <w:num w:numId="7" w16cid:durableId="1062364609">
    <w:abstractNumId w:val="1"/>
  </w:num>
  <w:num w:numId="8" w16cid:durableId="188228109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428440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7295430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17121331">
    <w:abstractNumId w:val="13"/>
  </w:num>
  <w:num w:numId="12" w16cid:durableId="664162318">
    <w:abstractNumId w:val="8"/>
  </w:num>
  <w:num w:numId="13" w16cid:durableId="18724502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03741728">
    <w:abstractNumId w:val="1"/>
  </w:num>
  <w:num w:numId="15" w16cid:durableId="330185380">
    <w:abstractNumId w:val="1"/>
  </w:num>
  <w:num w:numId="16" w16cid:durableId="1617715031">
    <w:abstractNumId w:val="7"/>
  </w:num>
  <w:num w:numId="17" w16cid:durableId="1453593641">
    <w:abstractNumId w:val="1"/>
  </w:num>
  <w:num w:numId="18" w16cid:durableId="1869179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69261249">
    <w:abstractNumId w:val="1"/>
  </w:num>
  <w:num w:numId="20" w16cid:durableId="690960509">
    <w:abstractNumId w:val="1"/>
  </w:num>
  <w:num w:numId="21" w16cid:durableId="1693608380">
    <w:abstractNumId w:val="1"/>
  </w:num>
  <w:num w:numId="22" w16cid:durableId="211506942">
    <w:abstractNumId w:val="1"/>
  </w:num>
  <w:num w:numId="23" w16cid:durableId="440302330">
    <w:abstractNumId w:val="3"/>
  </w:num>
  <w:num w:numId="24" w16cid:durableId="657920740">
    <w:abstractNumId w:val="6"/>
  </w:num>
  <w:num w:numId="25" w16cid:durableId="1926109151">
    <w:abstractNumId w:val="11"/>
  </w:num>
  <w:num w:numId="26" w16cid:durableId="2127041149">
    <w:abstractNumId w:val="1"/>
  </w:num>
  <w:num w:numId="27" w16cid:durableId="73093372">
    <w:abstractNumId w:val="1"/>
  </w:num>
  <w:num w:numId="28" w16cid:durableId="385498148">
    <w:abstractNumId w:val="1"/>
  </w:num>
  <w:num w:numId="29" w16cid:durableId="1764716684">
    <w:abstractNumId w:val="1"/>
  </w:num>
  <w:num w:numId="30" w16cid:durableId="2122719758">
    <w:abstractNumId w:val="1"/>
  </w:num>
  <w:num w:numId="31" w16cid:durableId="892810820">
    <w:abstractNumId w:val="1"/>
  </w:num>
  <w:num w:numId="32" w16cid:durableId="100033846">
    <w:abstractNumId w:val="1"/>
  </w:num>
  <w:num w:numId="33" w16cid:durableId="136185694">
    <w:abstractNumId w:val="1"/>
  </w:num>
  <w:num w:numId="34" w16cid:durableId="1561288474">
    <w:abstractNumId w:val="1"/>
  </w:num>
  <w:num w:numId="35" w16cid:durableId="932979479">
    <w:abstractNumId w:val="1"/>
  </w:num>
  <w:num w:numId="36" w16cid:durableId="1381396196">
    <w:abstractNumId w:val="1"/>
  </w:num>
  <w:num w:numId="37" w16cid:durableId="1633319629">
    <w:abstractNumId w:val="1"/>
  </w:num>
  <w:num w:numId="38" w16cid:durableId="1387531225">
    <w:abstractNumId w:val="1"/>
  </w:num>
  <w:num w:numId="39" w16cid:durableId="893389755">
    <w:abstractNumId w:val="1"/>
  </w:num>
  <w:num w:numId="40" w16cid:durableId="1237743226">
    <w:abstractNumId w:val="1"/>
  </w:num>
  <w:num w:numId="41" w16cid:durableId="1983464026">
    <w:abstractNumId w:val="1"/>
  </w:num>
  <w:num w:numId="42" w16cid:durableId="1073550685">
    <w:abstractNumId w:val="1"/>
  </w:num>
  <w:num w:numId="43" w16cid:durableId="1210072455">
    <w:abstractNumId w:val="1"/>
  </w:num>
  <w:num w:numId="44" w16cid:durableId="690647537">
    <w:abstractNumId w:val="1"/>
  </w:num>
  <w:num w:numId="45" w16cid:durableId="175015607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96195"/>
    <w:rsid w:val="00004400"/>
    <w:rsid w:val="000053C0"/>
    <w:rsid w:val="00011AD9"/>
    <w:rsid w:val="00011BE7"/>
    <w:rsid w:val="00012187"/>
    <w:rsid w:val="000164BC"/>
    <w:rsid w:val="000176D4"/>
    <w:rsid w:val="000236F0"/>
    <w:rsid w:val="00026ABE"/>
    <w:rsid w:val="0003065A"/>
    <w:rsid w:val="00032164"/>
    <w:rsid w:val="00032F8F"/>
    <w:rsid w:val="000338E1"/>
    <w:rsid w:val="00033A8B"/>
    <w:rsid w:val="00036117"/>
    <w:rsid w:val="0003647C"/>
    <w:rsid w:val="00040C9D"/>
    <w:rsid w:val="00041182"/>
    <w:rsid w:val="000513E5"/>
    <w:rsid w:val="00053222"/>
    <w:rsid w:val="00053350"/>
    <w:rsid w:val="0005451E"/>
    <w:rsid w:val="00055066"/>
    <w:rsid w:val="00055188"/>
    <w:rsid w:val="000552B2"/>
    <w:rsid w:val="00062394"/>
    <w:rsid w:val="00063D3E"/>
    <w:rsid w:val="00067786"/>
    <w:rsid w:val="00074E9C"/>
    <w:rsid w:val="00080E9E"/>
    <w:rsid w:val="000822FE"/>
    <w:rsid w:val="00082701"/>
    <w:rsid w:val="00083332"/>
    <w:rsid w:val="00083CE3"/>
    <w:rsid w:val="0008414A"/>
    <w:rsid w:val="00084243"/>
    <w:rsid w:val="000868B9"/>
    <w:rsid w:val="00091FB2"/>
    <w:rsid w:val="000952C5"/>
    <w:rsid w:val="0009763E"/>
    <w:rsid w:val="000A1675"/>
    <w:rsid w:val="000A2F52"/>
    <w:rsid w:val="000A5291"/>
    <w:rsid w:val="000A69C0"/>
    <w:rsid w:val="000A7B8C"/>
    <w:rsid w:val="000B232A"/>
    <w:rsid w:val="000B5D58"/>
    <w:rsid w:val="000C0AE7"/>
    <w:rsid w:val="000C1108"/>
    <w:rsid w:val="000C14AA"/>
    <w:rsid w:val="000C3189"/>
    <w:rsid w:val="000C5602"/>
    <w:rsid w:val="000C5D8A"/>
    <w:rsid w:val="000C7D15"/>
    <w:rsid w:val="000D2344"/>
    <w:rsid w:val="000D7440"/>
    <w:rsid w:val="000E357E"/>
    <w:rsid w:val="000E3AE5"/>
    <w:rsid w:val="000E4268"/>
    <w:rsid w:val="000E6E43"/>
    <w:rsid w:val="000E6F2F"/>
    <w:rsid w:val="000E7D2C"/>
    <w:rsid w:val="00104491"/>
    <w:rsid w:val="0010464A"/>
    <w:rsid w:val="00104A78"/>
    <w:rsid w:val="0011087E"/>
    <w:rsid w:val="0011152E"/>
    <w:rsid w:val="001133F9"/>
    <w:rsid w:val="00117AD1"/>
    <w:rsid w:val="0012284D"/>
    <w:rsid w:val="001243B8"/>
    <w:rsid w:val="00126E88"/>
    <w:rsid w:val="00135E0B"/>
    <w:rsid w:val="001362FB"/>
    <w:rsid w:val="0013695D"/>
    <w:rsid w:val="00143D46"/>
    <w:rsid w:val="0014468E"/>
    <w:rsid w:val="0015132F"/>
    <w:rsid w:val="00152699"/>
    <w:rsid w:val="001532D2"/>
    <w:rsid w:val="00156A9A"/>
    <w:rsid w:val="001626E6"/>
    <w:rsid w:val="00162F4A"/>
    <w:rsid w:val="00164778"/>
    <w:rsid w:val="00166AF7"/>
    <w:rsid w:val="00167D06"/>
    <w:rsid w:val="00170404"/>
    <w:rsid w:val="00171AB8"/>
    <w:rsid w:val="0017356F"/>
    <w:rsid w:val="00174ABE"/>
    <w:rsid w:val="00174C18"/>
    <w:rsid w:val="00177DF6"/>
    <w:rsid w:val="00185980"/>
    <w:rsid w:val="001906E5"/>
    <w:rsid w:val="001919E4"/>
    <w:rsid w:val="00193E69"/>
    <w:rsid w:val="001940EE"/>
    <w:rsid w:val="00196BBB"/>
    <w:rsid w:val="001975A6"/>
    <w:rsid w:val="00197DA9"/>
    <w:rsid w:val="001A1CE5"/>
    <w:rsid w:val="001A2502"/>
    <w:rsid w:val="001B1F9D"/>
    <w:rsid w:val="001B26E8"/>
    <w:rsid w:val="001B4377"/>
    <w:rsid w:val="001B4C19"/>
    <w:rsid w:val="001C0228"/>
    <w:rsid w:val="001C116A"/>
    <w:rsid w:val="001C1DAF"/>
    <w:rsid w:val="001C7B49"/>
    <w:rsid w:val="001D39C6"/>
    <w:rsid w:val="001D7D78"/>
    <w:rsid w:val="001E1153"/>
    <w:rsid w:val="001E5B40"/>
    <w:rsid w:val="001E72FB"/>
    <w:rsid w:val="001E7939"/>
    <w:rsid w:val="001F2741"/>
    <w:rsid w:val="001F394C"/>
    <w:rsid w:val="001F5291"/>
    <w:rsid w:val="001F7788"/>
    <w:rsid w:val="00200143"/>
    <w:rsid w:val="002011AB"/>
    <w:rsid w:val="00204325"/>
    <w:rsid w:val="002100A5"/>
    <w:rsid w:val="00211D1B"/>
    <w:rsid w:val="00213115"/>
    <w:rsid w:val="002177E7"/>
    <w:rsid w:val="0022229D"/>
    <w:rsid w:val="00223360"/>
    <w:rsid w:val="00226CB7"/>
    <w:rsid w:val="0022766D"/>
    <w:rsid w:val="00227AF2"/>
    <w:rsid w:val="00227C0C"/>
    <w:rsid w:val="0023369E"/>
    <w:rsid w:val="00235629"/>
    <w:rsid w:val="00240143"/>
    <w:rsid w:val="0024095C"/>
    <w:rsid w:val="002471DE"/>
    <w:rsid w:val="00247CDD"/>
    <w:rsid w:val="00252477"/>
    <w:rsid w:val="002539CC"/>
    <w:rsid w:val="002543FA"/>
    <w:rsid w:val="00256FBE"/>
    <w:rsid w:val="00261D98"/>
    <w:rsid w:val="00263902"/>
    <w:rsid w:val="00264265"/>
    <w:rsid w:val="00266CBC"/>
    <w:rsid w:val="002676A0"/>
    <w:rsid w:val="002715A1"/>
    <w:rsid w:val="00273BF7"/>
    <w:rsid w:val="00276B72"/>
    <w:rsid w:val="00276FC2"/>
    <w:rsid w:val="00282D31"/>
    <w:rsid w:val="00282D5A"/>
    <w:rsid w:val="00284673"/>
    <w:rsid w:val="002847CD"/>
    <w:rsid w:val="002865BA"/>
    <w:rsid w:val="0029238E"/>
    <w:rsid w:val="00297833"/>
    <w:rsid w:val="002A0740"/>
    <w:rsid w:val="002A3ED9"/>
    <w:rsid w:val="002A41A4"/>
    <w:rsid w:val="002A5F6A"/>
    <w:rsid w:val="002A69FD"/>
    <w:rsid w:val="002A71A2"/>
    <w:rsid w:val="002B069C"/>
    <w:rsid w:val="002C5989"/>
    <w:rsid w:val="002C63C5"/>
    <w:rsid w:val="002D0D24"/>
    <w:rsid w:val="002D57FC"/>
    <w:rsid w:val="002E0BB6"/>
    <w:rsid w:val="002E3103"/>
    <w:rsid w:val="002E6B40"/>
    <w:rsid w:val="002F01A7"/>
    <w:rsid w:val="002F535E"/>
    <w:rsid w:val="002F5EFD"/>
    <w:rsid w:val="00302981"/>
    <w:rsid w:val="00302FE1"/>
    <w:rsid w:val="00306F8C"/>
    <w:rsid w:val="0031745E"/>
    <w:rsid w:val="00322E2B"/>
    <w:rsid w:val="00323967"/>
    <w:rsid w:val="0033150A"/>
    <w:rsid w:val="0033282E"/>
    <w:rsid w:val="00333F4D"/>
    <w:rsid w:val="003423FC"/>
    <w:rsid w:val="00345F50"/>
    <w:rsid w:val="00346842"/>
    <w:rsid w:val="00346872"/>
    <w:rsid w:val="00357990"/>
    <w:rsid w:val="00363F10"/>
    <w:rsid w:val="003722EF"/>
    <w:rsid w:val="00372674"/>
    <w:rsid w:val="00376A8C"/>
    <w:rsid w:val="003837DC"/>
    <w:rsid w:val="00383A5A"/>
    <w:rsid w:val="00383E9A"/>
    <w:rsid w:val="00384633"/>
    <w:rsid w:val="00384CE2"/>
    <w:rsid w:val="003868E7"/>
    <w:rsid w:val="0039293A"/>
    <w:rsid w:val="00392E44"/>
    <w:rsid w:val="00394A09"/>
    <w:rsid w:val="003A0052"/>
    <w:rsid w:val="003A111E"/>
    <w:rsid w:val="003A3A11"/>
    <w:rsid w:val="003A41D9"/>
    <w:rsid w:val="003A633A"/>
    <w:rsid w:val="003A691B"/>
    <w:rsid w:val="003B22C9"/>
    <w:rsid w:val="003B2B9F"/>
    <w:rsid w:val="003C0665"/>
    <w:rsid w:val="003C232D"/>
    <w:rsid w:val="003C4027"/>
    <w:rsid w:val="003C4A9E"/>
    <w:rsid w:val="003D0F59"/>
    <w:rsid w:val="003D4424"/>
    <w:rsid w:val="003D5C6A"/>
    <w:rsid w:val="003D69BB"/>
    <w:rsid w:val="003D69D9"/>
    <w:rsid w:val="003E137D"/>
    <w:rsid w:val="003E1644"/>
    <w:rsid w:val="003E1DD3"/>
    <w:rsid w:val="003E6679"/>
    <w:rsid w:val="003E76FA"/>
    <w:rsid w:val="003F0ED9"/>
    <w:rsid w:val="003F5263"/>
    <w:rsid w:val="003F63A7"/>
    <w:rsid w:val="004000A8"/>
    <w:rsid w:val="00400340"/>
    <w:rsid w:val="004016D2"/>
    <w:rsid w:val="00402350"/>
    <w:rsid w:val="00403EFB"/>
    <w:rsid w:val="00407EFD"/>
    <w:rsid w:val="0041041C"/>
    <w:rsid w:val="00410A90"/>
    <w:rsid w:val="00410E02"/>
    <w:rsid w:val="00417CD7"/>
    <w:rsid w:val="00420260"/>
    <w:rsid w:val="004214DF"/>
    <w:rsid w:val="00422FF5"/>
    <w:rsid w:val="004272BE"/>
    <w:rsid w:val="004275A1"/>
    <w:rsid w:val="00432D98"/>
    <w:rsid w:val="00435FB4"/>
    <w:rsid w:val="00437DCF"/>
    <w:rsid w:val="004442DB"/>
    <w:rsid w:val="00445CEB"/>
    <w:rsid w:val="0044725B"/>
    <w:rsid w:val="00450E2B"/>
    <w:rsid w:val="00456C3E"/>
    <w:rsid w:val="00457992"/>
    <w:rsid w:val="004600D9"/>
    <w:rsid w:val="004645F9"/>
    <w:rsid w:val="00464B74"/>
    <w:rsid w:val="00465525"/>
    <w:rsid w:val="004658E0"/>
    <w:rsid w:val="004728CB"/>
    <w:rsid w:val="00473B5A"/>
    <w:rsid w:val="00474966"/>
    <w:rsid w:val="00483299"/>
    <w:rsid w:val="0048546E"/>
    <w:rsid w:val="00485EC5"/>
    <w:rsid w:val="004911AF"/>
    <w:rsid w:val="00491A0F"/>
    <w:rsid w:val="00494124"/>
    <w:rsid w:val="004967DB"/>
    <w:rsid w:val="004A0165"/>
    <w:rsid w:val="004A78F2"/>
    <w:rsid w:val="004B3655"/>
    <w:rsid w:val="004B6BAE"/>
    <w:rsid w:val="004C005C"/>
    <w:rsid w:val="004C04CC"/>
    <w:rsid w:val="004C15DC"/>
    <w:rsid w:val="004C4764"/>
    <w:rsid w:val="004C4FFA"/>
    <w:rsid w:val="004C5A91"/>
    <w:rsid w:val="004C5B56"/>
    <w:rsid w:val="004C625F"/>
    <w:rsid w:val="004C6622"/>
    <w:rsid w:val="004D3BA7"/>
    <w:rsid w:val="004D581C"/>
    <w:rsid w:val="004D6D6B"/>
    <w:rsid w:val="004E177B"/>
    <w:rsid w:val="004E2381"/>
    <w:rsid w:val="004E298E"/>
    <w:rsid w:val="004F02C6"/>
    <w:rsid w:val="004F1112"/>
    <w:rsid w:val="004F1DEF"/>
    <w:rsid w:val="004F6AD1"/>
    <w:rsid w:val="004F7570"/>
    <w:rsid w:val="00500D4D"/>
    <w:rsid w:val="00500F7D"/>
    <w:rsid w:val="00503EF7"/>
    <w:rsid w:val="00505F08"/>
    <w:rsid w:val="00510CDD"/>
    <w:rsid w:val="005153B0"/>
    <w:rsid w:val="00520C6A"/>
    <w:rsid w:val="00520E18"/>
    <w:rsid w:val="00523A07"/>
    <w:rsid w:val="00524C6D"/>
    <w:rsid w:val="00527AB5"/>
    <w:rsid w:val="005303CD"/>
    <w:rsid w:val="00530D2D"/>
    <w:rsid w:val="00530FD4"/>
    <w:rsid w:val="005366B8"/>
    <w:rsid w:val="005368D7"/>
    <w:rsid w:val="00541207"/>
    <w:rsid w:val="00541B36"/>
    <w:rsid w:val="0054220B"/>
    <w:rsid w:val="005447F4"/>
    <w:rsid w:val="00552A18"/>
    <w:rsid w:val="00552AB2"/>
    <w:rsid w:val="00555562"/>
    <w:rsid w:val="00561B21"/>
    <w:rsid w:val="00562B58"/>
    <w:rsid w:val="00563528"/>
    <w:rsid w:val="0056438D"/>
    <w:rsid w:val="0057338E"/>
    <w:rsid w:val="00573581"/>
    <w:rsid w:val="0057662D"/>
    <w:rsid w:val="00580735"/>
    <w:rsid w:val="0058171D"/>
    <w:rsid w:val="005838D8"/>
    <w:rsid w:val="00585A6A"/>
    <w:rsid w:val="005974E0"/>
    <w:rsid w:val="0059762A"/>
    <w:rsid w:val="0059784D"/>
    <w:rsid w:val="005A0F44"/>
    <w:rsid w:val="005A4583"/>
    <w:rsid w:val="005A4DC8"/>
    <w:rsid w:val="005B1B86"/>
    <w:rsid w:val="005B2317"/>
    <w:rsid w:val="005B3A5E"/>
    <w:rsid w:val="005B45AA"/>
    <w:rsid w:val="005B45B2"/>
    <w:rsid w:val="005C2B5E"/>
    <w:rsid w:val="005C43A2"/>
    <w:rsid w:val="005D11B3"/>
    <w:rsid w:val="005D19A2"/>
    <w:rsid w:val="005D39EB"/>
    <w:rsid w:val="005D560F"/>
    <w:rsid w:val="005D59B2"/>
    <w:rsid w:val="005E01DD"/>
    <w:rsid w:val="005E3A95"/>
    <w:rsid w:val="005F10CD"/>
    <w:rsid w:val="005F4DEC"/>
    <w:rsid w:val="005F7343"/>
    <w:rsid w:val="0060063E"/>
    <w:rsid w:val="00601EE0"/>
    <w:rsid w:val="00603B06"/>
    <w:rsid w:val="0061275E"/>
    <w:rsid w:val="006134F1"/>
    <w:rsid w:val="0061475B"/>
    <w:rsid w:val="006164CC"/>
    <w:rsid w:val="00617324"/>
    <w:rsid w:val="00623B15"/>
    <w:rsid w:val="00623DAA"/>
    <w:rsid w:val="00627AF2"/>
    <w:rsid w:val="00627F29"/>
    <w:rsid w:val="006300F8"/>
    <w:rsid w:val="0063016B"/>
    <w:rsid w:val="00634BA3"/>
    <w:rsid w:val="0063698A"/>
    <w:rsid w:val="00640918"/>
    <w:rsid w:val="00641314"/>
    <w:rsid w:val="00642A48"/>
    <w:rsid w:val="006430B0"/>
    <w:rsid w:val="00650552"/>
    <w:rsid w:val="00654198"/>
    <w:rsid w:val="00655FBE"/>
    <w:rsid w:val="00661D1B"/>
    <w:rsid w:val="0066217C"/>
    <w:rsid w:val="00662C54"/>
    <w:rsid w:val="00664986"/>
    <w:rsid w:val="00665C32"/>
    <w:rsid w:val="00665C62"/>
    <w:rsid w:val="00666271"/>
    <w:rsid w:val="006664F0"/>
    <w:rsid w:val="00666CEC"/>
    <w:rsid w:val="0067005C"/>
    <w:rsid w:val="0067251C"/>
    <w:rsid w:val="006728C2"/>
    <w:rsid w:val="00674CAB"/>
    <w:rsid w:val="0067652C"/>
    <w:rsid w:val="00683703"/>
    <w:rsid w:val="00696195"/>
    <w:rsid w:val="006A313A"/>
    <w:rsid w:val="006A4964"/>
    <w:rsid w:val="006A67C7"/>
    <w:rsid w:val="006A7AB4"/>
    <w:rsid w:val="006B19B3"/>
    <w:rsid w:val="006B303B"/>
    <w:rsid w:val="006B30FF"/>
    <w:rsid w:val="006B4A29"/>
    <w:rsid w:val="006B7125"/>
    <w:rsid w:val="006B733D"/>
    <w:rsid w:val="006C0C1B"/>
    <w:rsid w:val="006C77D4"/>
    <w:rsid w:val="006D7005"/>
    <w:rsid w:val="006E1027"/>
    <w:rsid w:val="006E5636"/>
    <w:rsid w:val="006E68B3"/>
    <w:rsid w:val="006F2F4F"/>
    <w:rsid w:val="006F4772"/>
    <w:rsid w:val="006F50AB"/>
    <w:rsid w:val="006F7536"/>
    <w:rsid w:val="00701E8A"/>
    <w:rsid w:val="00702BBA"/>
    <w:rsid w:val="0071133A"/>
    <w:rsid w:val="00711E3A"/>
    <w:rsid w:val="00712A21"/>
    <w:rsid w:val="007164FB"/>
    <w:rsid w:val="0072177E"/>
    <w:rsid w:val="0072418A"/>
    <w:rsid w:val="00724D5D"/>
    <w:rsid w:val="007252A4"/>
    <w:rsid w:val="00731B22"/>
    <w:rsid w:val="007357E6"/>
    <w:rsid w:val="00740508"/>
    <w:rsid w:val="00744E2E"/>
    <w:rsid w:val="007459AA"/>
    <w:rsid w:val="00747EAE"/>
    <w:rsid w:val="00754C99"/>
    <w:rsid w:val="007573EE"/>
    <w:rsid w:val="007574C9"/>
    <w:rsid w:val="007576C3"/>
    <w:rsid w:val="0076000B"/>
    <w:rsid w:val="00760917"/>
    <w:rsid w:val="0076410E"/>
    <w:rsid w:val="007654E8"/>
    <w:rsid w:val="00766B3C"/>
    <w:rsid w:val="007700DE"/>
    <w:rsid w:val="00772590"/>
    <w:rsid w:val="00774399"/>
    <w:rsid w:val="0078016B"/>
    <w:rsid w:val="0078268F"/>
    <w:rsid w:val="007844B5"/>
    <w:rsid w:val="007859D6"/>
    <w:rsid w:val="00792237"/>
    <w:rsid w:val="007A26E0"/>
    <w:rsid w:val="007A44AC"/>
    <w:rsid w:val="007A6CCB"/>
    <w:rsid w:val="007A7304"/>
    <w:rsid w:val="007B6C04"/>
    <w:rsid w:val="007C0BA5"/>
    <w:rsid w:val="007C26AB"/>
    <w:rsid w:val="007C31D8"/>
    <w:rsid w:val="007D0402"/>
    <w:rsid w:val="007D0C2E"/>
    <w:rsid w:val="007D0EC2"/>
    <w:rsid w:val="007D633B"/>
    <w:rsid w:val="007D6CBF"/>
    <w:rsid w:val="007D6D35"/>
    <w:rsid w:val="007D73DA"/>
    <w:rsid w:val="007E1DD6"/>
    <w:rsid w:val="007E2FB7"/>
    <w:rsid w:val="007E3A9E"/>
    <w:rsid w:val="007E6320"/>
    <w:rsid w:val="007E6CAB"/>
    <w:rsid w:val="007F02FE"/>
    <w:rsid w:val="007F0DC3"/>
    <w:rsid w:val="007F4D31"/>
    <w:rsid w:val="007F5728"/>
    <w:rsid w:val="007F6077"/>
    <w:rsid w:val="008012E1"/>
    <w:rsid w:val="00802206"/>
    <w:rsid w:val="00810B8B"/>
    <w:rsid w:val="00810D7B"/>
    <w:rsid w:val="0081240C"/>
    <w:rsid w:val="00816051"/>
    <w:rsid w:val="00817636"/>
    <w:rsid w:val="00817D3C"/>
    <w:rsid w:val="00820027"/>
    <w:rsid w:val="00822F52"/>
    <w:rsid w:val="00824F02"/>
    <w:rsid w:val="00831EC6"/>
    <w:rsid w:val="00834F7F"/>
    <w:rsid w:val="00836C54"/>
    <w:rsid w:val="00837CC5"/>
    <w:rsid w:val="00842B36"/>
    <w:rsid w:val="00843AAF"/>
    <w:rsid w:val="00845961"/>
    <w:rsid w:val="0085355C"/>
    <w:rsid w:val="00853A38"/>
    <w:rsid w:val="00861220"/>
    <w:rsid w:val="00863A45"/>
    <w:rsid w:val="00864216"/>
    <w:rsid w:val="00867AC5"/>
    <w:rsid w:val="00875077"/>
    <w:rsid w:val="008768A7"/>
    <w:rsid w:val="00876957"/>
    <w:rsid w:val="00876B01"/>
    <w:rsid w:val="00877E5D"/>
    <w:rsid w:val="00883C3B"/>
    <w:rsid w:val="00884D20"/>
    <w:rsid w:val="00892D58"/>
    <w:rsid w:val="00894557"/>
    <w:rsid w:val="00896E05"/>
    <w:rsid w:val="008A032D"/>
    <w:rsid w:val="008A13FE"/>
    <w:rsid w:val="008A1B84"/>
    <w:rsid w:val="008A2D77"/>
    <w:rsid w:val="008A337E"/>
    <w:rsid w:val="008A4EA2"/>
    <w:rsid w:val="008A6FDB"/>
    <w:rsid w:val="008A78C4"/>
    <w:rsid w:val="008B06FC"/>
    <w:rsid w:val="008B0F9E"/>
    <w:rsid w:val="008B1858"/>
    <w:rsid w:val="008B2510"/>
    <w:rsid w:val="008B3FD3"/>
    <w:rsid w:val="008B621A"/>
    <w:rsid w:val="008B7D9F"/>
    <w:rsid w:val="008C1141"/>
    <w:rsid w:val="008C14C2"/>
    <w:rsid w:val="008C26A7"/>
    <w:rsid w:val="008C7BF6"/>
    <w:rsid w:val="008D03AB"/>
    <w:rsid w:val="008D1007"/>
    <w:rsid w:val="008D2C1D"/>
    <w:rsid w:val="008D51ED"/>
    <w:rsid w:val="008D7A5A"/>
    <w:rsid w:val="008E0F6D"/>
    <w:rsid w:val="008E1985"/>
    <w:rsid w:val="008E2A70"/>
    <w:rsid w:val="008E494D"/>
    <w:rsid w:val="008E4A8D"/>
    <w:rsid w:val="008E4EDB"/>
    <w:rsid w:val="008E79B5"/>
    <w:rsid w:val="008E7C4F"/>
    <w:rsid w:val="008F0D41"/>
    <w:rsid w:val="008F1CCE"/>
    <w:rsid w:val="008F2AA8"/>
    <w:rsid w:val="008F34F6"/>
    <w:rsid w:val="008F6CC5"/>
    <w:rsid w:val="008F7B0E"/>
    <w:rsid w:val="0090010A"/>
    <w:rsid w:val="00901FBE"/>
    <w:rsid w:val="00903B88"/>
    <w:rsid w:val="00906373"/>
    <w:rsid w:val="009066C7"/>
    <w:rsid w:val="009067D3"/>
    <w:rsid w:val="009106B1"/>
    <w:rsid w:val="00910855"/>
    <w:rsid w:val="0091363A"/>
    <w:rsid w:val="00914822"/>
    <w:rsid w:val="00921833"/>
    <w:rsid w:val="00922AB0"/>
    <w:rsid w:val="00930BAF"/>
    <w:rsid w:val="00930CD4"/>
    <w:rsid w:val="0093534B"/>
    <w:rsid w:val="009355D6"/>
    <w:rsid w:val="0095269E"/>
    <w:rsid w:val="00952956"/>
    <w:rsid w:val="00952DB7"/>
    <w:rsid w:val="009568D7"/>
    <w:rsid w:val="00961A04"/>
    <w:rsid w:val="0096223C"/>
    <w:rsid w:val="00964E1F"/>
    <w:rsid w:val="0097212A"/>
    <w:rsid w:val="009729F3"/>
    <w:rsid w:val="00973ED6"/>
    <w:rsid w:val="00974D0B"/>
    <w:rsid w:val="00976B47"/>
    <w:rsid w:val="0097760F"/>
    <w:rsid w:val="00980E6B"/>
    <w:rsid w:val="009815CD"/>
    <w:rsid w:val="00982AB3"/>
    <w:rsid w:val="00982F98"/>
    <w:rsid w:val="0098408B"/>
    <w:rsid w:val="00986EED"/>
    <w:rsid w:val="0099157F"/>
    <w:rsid w:val="009931D3"/>
    <w:rsid w:val="00994310"/>
    <w:rsid w:val="0099682A"/>
    <w:rsid w:val="00997B6D"/>
    <w:rsid w:val="009A6216"/>
    <w:rsid w:val="009A6A25"/>
    <w:rsid w:val="009A6B84"/>
    <w:rsid w:val="009B0B5B"/>
    <w:rsid w:val="009B2B30"/>
    <w:rsid w:val="009B2F53"/>
    <w:rsid w:val="009B35E8"/>
    <w:rsid w:val="009B76E7"/>
    <w:rsid w:val="009C1303"/>
    <w:rsid w:val="009C1476"/>
    <w:rsid w:val="009C5BC7"/>
    <w:rsid w:val="009D0474"/>
    <w:rsid w:val="009D1131"/>
    <w:rsid w:val="009D237F"/>
    <w:rsid w:val="009D4CCC"/>
    <w:rsid w:val="009E2BA9"/>
    <w:rsid w:val="009E4B25"/>
    <w:rsid w:val="009E4D13"/>
    <w:rsid w:val="009E5717"/>
    <w:rsid w:val="009E7DBF"/>
    <w:rsid w:val="009F0A87"/>
    <w:rsid w:val="009F0E2E"/>
    <w:rsid w:val="009F5D28"/>
    <w:rsid w:val="009F7085"/>
    <w:rsid w:val="009F7562"/>
    <w:rsid w:val="009F75C8"/>
    <w:rsid w:val="00A00EAB"/>
    <w:rsid w:val="00A06A8B"/>
    <w:rsid w:val="00A13CC1"/>
    <w:rsid w:val="00A27533"/>
    <w:rsid w:val="00A31057"/>
    <w:rsid w:val="00A33F91"/>
    <w:rsid w:val="00A34486"/>
    <w:rsid w:val="00A35603"/>
    <w:rsid w:val="00A3587B"/>
    <w:rsid w:val="00A362FF"/>
    <w:rsid w:val="00A37538"/>
    <w:rsid w:val="00A43E41"/>
    <w:rsid w:val="00A44724"/>
    <w:rsid w:val="00A4732E"/>
    <w:rsid w:val="00A47BB7"/>
    <w:rsid w:val="00A51490"/>
    <w:rsid w:val="00A52EE5"/>
    <w:rsid w:val="00A54911"/>
    <w:rsid w:val="00A5682B"/>
    <w:rsid w:val="00A577E3"/>
    <w:rsid w:val="00A60660"/>
    <w:rsid w:val="00A6117C"/>
    <w:rsid w:val="00A637B5"/>
    <w:rsid w:val="00A70E6D"/>
    <w:rsid w:val="00A711B5"/>
    <w:rsid w:val="00A71AA3"/>
    <w:rsid w:val="00A7206B"/>
    <w:rsid w:val="00A752DC"/>
    <w:rsid w:val="00A7694A"/>
    <w:rsid w:val="00A77400"/>
    <w:rsid w:val="00A81610"/>
    <w:rsid w:val="00A83326"/>
    <w:rsid w:val="00A85A16"/>
    <w:rsid w:val="00A8713C"/>
    <w:rsid w:val="00A97259"/>
    <w:rsid w:val="00A97734"/>
    <w:rsid w:val="00AA1B53"/>
    <w:rsid w:val="00AA1DF3"/>
    <w:rsid w:val="00AA52F4"/>
    <w:rsid w:val="00AA5652"/>
    <w:rsid w:val="00AB3114"/>
    <w:rsid w:val="00AC0730"/>
    <w:rsid w:val="00AC1E8D"/>
    <w:rsid w:val="00AC278A"/>
    <w:rsid w:val="00AC3A53"/>
    <w:rsid w:val="00AC70A8"/>
    <w:rsid w:val="00AD0332"/>
    <w:rsid w:val="00AD1DA0"/>
    <w:rsid w:val="00AD1E2A"/>
    <w:rsid w:val="00AD36BF"/>
    <w:rsid w:val="00AD50F6"/>
    <w:rsid w:val="00AD609B"/>
    <w:rsid w:val="00AD6625"/>
    <w:rsid w:val="00AD7E2B"/>
    <w:rsid w:val="00AE7AB0"/>
    <w:rsid w:val="00B01837"/>
    <w:rsid w:val="00B02112"/>
    <w:rsid w:val="00B03B2A"/>
    <w:rsid w:val="00B05211"/>
    <w:rsid w:val="00B06B90"/>
    <w:rsid w:val="00B101CF"/>
    <w:rsid w:val="00B1216E"/>
    <w:rsid w:val="00B1389D"/>
    <w:rsid w:val="00B224CE"/>
    <w:rsid w:val="00B25114"/>
    <w:rsid w:val="00B302B4"/>
    <w:rsid w:val="00B3321C"/>
    <w:rsid w:val="00B35240"/>
    <w:rsid w:val="00B365C4"/>
    <w:rsid w:val="00B37F8E"/>
    <w:rsid w:val="00B42B96"/>
    <w:rsid w:val="00B445E5"/>
    <w:rsid w:val="00B461F4"/>
    <w:rsid w:val="00B47E46"/>
    <w:rsid w:val="00B544B4"/>
    <w:rsid w:val="00B63080"/>
    <w:rsid w:val="00B63376"/>
    <w:rsid w:val="00B637DA"/>
    <w:rsid w:val="00B6498D"/>
    <w:rsid w:val="00B65082"/>
    <w:rsid w:val="00B6574C"/>
    <w:rsid w:val="00B66930"/>
    <w:rsid w:val="00B67AA5"/>
    <w:rsid w:val="00B67D4F"/>
    <w:rsid w:val="00B70AC6"/>
    <w:rsid w:val="00B7133E"/>
    <w:rsid w:val="00B736EA"/>
    <w:rsid w:val="00B73C7C"/>
    <w:rsid w:val="00B75838"/>
    <w:rsid w:val="00B76275"/>
    <w:rsid w:val="00B803DD"/>
    <w:rsid w:val="00B82E3D"/>
    <w:rsid w:val="00B87C91"/>
    <w:rsid w:val="00B87D4E"/>
    <w:rsid w:val="00B91D3D"/>
    <w:rsid w:val="00BA0305"/>
    <w:rsid w:val="00BA72AE"/>
    <w:rsid w:val="00BA7EC5"/>
    <w:rsid w:val="00BB18E2"/>
    <w:rsid w:val="00BB33F2"/>
    <w:rsid w:val="00BB35EC"/>
    <w:rsid w:val="00BB3BF0"/>
    <w:rsid w:val="00BC0173"/>
    <w:rsid w:val="00BC431D"/>
    <w:rsid w:val="00BC67DC"/>
    <w:rsid w:val="00BC7FEA"/>
    <w:rsid w:val="00BD2AB5"/>
    <w:rsid w:val="00BD3A34"/>
    <w:rsid w:val="00BE29AB"/>
    <w:rsid w:val="00BE4922"/>
    <w:rsid w:val="00BE4FFC"/>
    <w:rsid w:val="00BF1F25"/>
    <w:rsid w:val="00BF3B05"/>
    <w:rsid w:val="00C00428"/>
    <w:rsid w:val="00C0065B"/>
    <w:rsid w:val="00C11321"/>
    <w:rsid w:val="00C14636"/>
    <w:rsid w:val="00C16C4E"/>
    <w:rsid w:val="00C20E47"/>
    <w:rsid w:val="00C245F5"/>
    <w:rsid w:val="00C24D50"/>
    <w:rsid w:val="00C35D87"/>
    <w:rsid w:val="00C40C6A"/>
    <w:rsid w:val="00C43DF2"/>
    <w:rsid w:val="00C52E08"/>
    <w:rsid w:val="00C53206"/>
    <w:rsid w:val="00C55192"/>
    <w:rsid w:val="00C554A6"/>
    <w:rsid w:val="00C65178"/>
    <w:rsid w:val="00C6712D"/>
    <w:rsid w:val="00C71BED"/>
    <w:rsid w:val="00C724AA"/>
    <w:rsid w:val="00C72937"/>
    <w:rsid w:val="00C800EF"/>
    <w:rsid w:val="00C80635"/>
    <w:rsid w:val="00C8771A"/>
    <w:rsid w:val="00C91091"/>
    <w:rsid w:val="00C925DF"/>
    <w:rsid w:val="00C949DF"/>
    <w:rsid w:val="00C95388"/>
    <w:rsid w:val="00C95579"/>
    <w:rsid w:val="00C96018"/>
    <w:rsid w:val="00C96B13"/>
    <w:rsid w:val="00CA1F94"/>
    <w:rsid w:val="00CA3182"/>
    <w:rsid w:val="00CA3D5B"/>
    <w:rsid w:val="00CB3A31"/>
    <w:rsid w:val="00CB3FA4"/>
    <w:rsid w:val="00CB5146"/>
    <w:rsid w:val="00CC1B60"/>
    <w:rsid w:val="00CC1FFE"/>
    <w:rsid w:val="00CC2F0F"/>
    <w:rsid w:val="00CC5FA5"/>
    <w:rsid w:val="00CC7F2D"/>
    <w:rsid w:val="00CD465D"/>
    <w:rsid w:val="00CD57DA"/>
    <w:rsid w:val="00CE79BB"/>
    <w:rsid w:val="00CF04BE"/>
    <w:rsid w:val="00CF2402"/>
    <w:rsid w:val="00CF4F10"/>
    <w:rsid w:val="00CF574A"/>
    <w:rsid w:val="00CF5C0B"/>
    <w:rsid w:val="00D00AE1"/>
    <w:rsid w:val="00D02615"/>
    <w:rsid w:val="00D02A39"/>
    <w:rsid w:val="00D03701"/>
    <w:rsid w:val="00D12B44"/>
    <w:rsid w:val="00D14B01"/>
    <w:rsid w:val="00D20FCD"/>
    <w:rsid w:val="00D21200"/>
    <w:rsid w:val="00D21AD8"/>
    <w:rsid w:val="00D27F70"/>
    <w:rsid w:val="00D31189"/>
    <w:rsid w:val="00D32BC2"/>
    <w:rsid w:val="00D42A94"/>
    <w:rsid w:val="00D43FB3"/>
    <w:rsid w:val="00D44C6F"/>
    <w:rsid w:val="00D50B68"/>
    <w:rsid w:val="00D50C12"/>
    <w:rsid w:val="00D51EF0"/>
    <w:rsid w:val="00D55F2D"/>
    <w:rsid w:val="00D70008"/>
    <w:rsid w:val="00D740EF"/>
    <w:rsid w:val="00D749B1"/>
    <w:rsid w:val="00D834D9"/>
    <w:rsid w:val="00D858B1"/>
    <w:rsid w:val="00D90A78"/>
    <w:rsid w:val="00D93241"/>
    <w:rsid w:val="00DA0636"/>
    <w:rsid w:val="00DA09EC"/>
    <w:rsid w:val="00DA1CFF"/>
    <w:rsid w:val="00DA410B"/>
    <w:rsid w:val="00DA62D9"/>
    <w:rsid w:val="00DA656D"/>
    <w:rsid w:val="00DA7328"/>
    <w:rsid w:val="00DB06A9"/>
    <w:rsid w:val="00DC79C0"/>
    <w:rsid w:val="00DD103D"/>
    <w:rsid w:val="00DD1D01"/>
    <w:rsid w:val="00DD41B8"/>
    <w:rsid w:val="00DD4A1F"/>
    <w:rsid w:val="00DD4DF8"/>
    <w:rsid w:val="00DD518F"/>
    <w:rsid w:val="00DD577C"/>
    <w:rsid w:val="00DD7F79"/>
    <w:rsid w:val="00DE0109"/>
    <w:rsid w:val="00DE0657"/>
    <w:rsid w:val="00DE0A4B"/>
    <w:rsid w:val="00DE13BF"/>
    <w:rsid w:val="00DE38F8"/>
    <w:rsid w:val="00DE6A4F"/>
    <w:rsid w:val="00DE6F15"/>
    <w:rsid w:val="00DF1155"/>
    <w:rsid w:val="00DF18CA"/>
    <w:rsid w:val="00DF1C5D"/>
    <w:rsid w:val="00DF1DD6"/>
    <w:rsid w:val="00DF3615"/>
    <w:rsid w:val="00DF3F15"/>
    <w:rsid w:val="00DF473E"/>
    <w:rsid w:val="00DF5E38"/>
    <w:rsid w:val="00DF6095"/>
    <w:rsid w:val="00E00497"/>
    <w:rsid w:val="00E00A72"/>
    <w:rsid w:val="00E04E8E"/>
    <w:rsid w:val="00E0727C"/>
    <w:rsid w:val="00E1182E"/>
    <w:rsid w:val="00E12509"/>
    <w:rsid w:val="00E14BE2"/>
    <w:rsid w:val="00E15BBB"/>
    <w:rsid w:val="00E16912"/>
    <w:rsid w:val="00E17220"/>
    <w:rsid w:val="00E17B66"/>
    <w:rsid w:val="00E231EC"/>
    <w:rsid w:val="00E23DC4"/>
    <w:rsid w:val="00E26A64"/>
    <w:rsid w:val="00E30D6A"/>
    <w:rsid w:val="00E32C19"/>
    <w:rsid w:val="00E34054"/>
    <w:rsid w:val="00E34A98"/>
    <w:rsid w:val="00E35794"/>
    <w:rsid w:val="00E35F96"/>
    <w:rsid w:val="00E37036"/>
    <w:rsid w:val="00E37F79"/>
    <w:rsid w:val="00E403ED"/>
    <w:rsid w:val="00E40A20"/>
    <w:rsid w:val="00E41C21"/>
    <w:rsid w:val="00E439B7"/>
    <w:rsid w:val="00E46E39"/>
    <w:rsid w:val="00E476F3"/>
    <w:rsid w:val="00E55CF3"/>
    <w:rsid w:val="00E56CF7"/>
    <w:rsid w:val="00E57B47"/>
    <w:rsid w:val="00E62126"/>
    <w:rsid w:val="00E6606C"/>
    <w:rsid w:val="00E70776"/>
    <w:rsid w:val="00E718D4"/>
    <w:rsid w:val="00E71F5B"/>
    <w:rsid w:val="00E774D6"/>
    <w:rsid w:val="00E8178A"/>
    <w:rsid w:val="00E85900"/>
    <w:rsid w:val="00E859C7"/>
    <w:rsid w:val="00E91012"/>
    <w:rsid w:val="00E941CC"/>
    <w:rsid w:val="00E97735"/>
    <w:rsid w:val="00EA3C70"/>
    <w:rsid w:val="00EA5A19"/>
    <w:rsid w:val="00EA5B4C"/>
    <w:rsid w:val="00EB05B8"/>
    <w:rsid w:val="00EB249F"/>
    <w:rsid w:val="00EB6AB0"/>
    <w:rsid w:val="00EB6E5A"/>
    <w:rsid w:val="00EB7B7B"/>
    <w:rsid w:val="00EC644C"/>
    <w:rsid w:val="00EC740D"/>
    <w:rsid w:val="00EC7567"/>
    <w:rsid w:val="00ED0EBE"/>
    <w:rsid w:val="00ED65EC"/>
    <w:rsid w:val="00ED6706"/>
    <w:rsid w:val="00ED6DAF"/>
    <w:rsid w:val="00ED712D"/>
    <w:rsid w:val="00ED7645"/>
    <w:rsid w:val="00EE08CF"/>
    <w:rsid w:val="00EE23EE"/>
    <w:rsid w:val="00EF0593"/>
    <w:rsid w:val="00EF20DD"/>
    <w:rsid w:val="00EF41F6"/>
    <w:rsid w:val="00EF4EC8"/>
    <w:rsid w:val="00EF62B7"/>
    <w:rsid w:val="00EF7504"/>
    <w:rsid w:val="00F06DCB"/>
    <w:rsid w:val="00F20D79"/>
    <w:rsid w:val="00F2458E"/>
    <w:rsid w:val="00F253B9"/>
    <w:rsid w:val="00F31746"/>
    <w:rsid w:val="00F31FDF"/>
    <w:rsid w:val="00F33AA9"/>
    <w:rsid w:val="00F35AFD"/>
    <w:rsid w:val="00F37788"/>
    <w:rsid w:val="00F37CB2"/>
    <w:rsid w:val="00F40274"/>
    <w:rsid w:val="00F411B7"/>
    <w:rsid w:val="00F50371"/>
    <w:rsid w:val="00F523B2"/>
    <w:rsid w:val="00F543EA"/>
    <w:rsid w:val="00F55243"/>
    <w:rsid w:val="00F55D35"/>
    <w:rsid w:val="00F57659"/>
    <w:rsid w:val="00F60482"/>
    <w:rsid w:val="00F609DA"/>
    <w:rsid w:val="00F63BC0"/>
    <w:rsid w:val="00F6752E"/>
    <w:rsid w:val="00F73B33"/>
    <w:rsid w:val="00F745B8"/>
    <w:rsid w:val="00F767B4"/>
    <w:rsid w:val="00F76C04"/>
    <w:rsid w:val="00F8694E"/>
    <w:rsid w:val="00F9324B"/>
    <w:rsid w:val="00F94557"/>
    <w:rsid w:val="00FA735D"/>
    <w:rsid w:val="00FA7B38"/>
    <w:rsid w:val="00FB1381"/>
    <w:rsid w:val="00FB6888"/>
    <w:rsid w:val="00FC2889"/>
    <w:rsid w:val="00FC5630"/>
    <w:rsid w:val="00FC5973"/>
    <w:rsid w:val="00FC6F20"/>
    <w:rsid w:val="00FC7FA7"/>
    <w:rsid w:val="00FD00E4"/>
    <w:rsid w:val="00FD0565"/>
    <w:rsid w:val="00FD05CB"/>
    <w:rsid w:val="00FD1950"/>
    <w:rsid w:val="00FD346F"/>
    <w:rsid w:val="00FD6226"/>
    <w:rsid w:val="00FE2F51"/>
    <w:rsid w:val="00FE6FA0"/>
    <w:rsid w:val="00FF2AC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B94F8E"/>
  <w15:chartTrackingRefBased/>
  <w15:docId w15:val="{AA1588EC-11C0-4C1D-B0E0-59E11FBDA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E859C7"/>
  </w:style>
  <w:style w:type="paragraph" w:styleId="Nadpis1">
    <w:name w:val="heading 1"/>
    <w:basedOn w:val="Normln"/>
    <w:next w:val="Normln"/>
    <w:autoRedefine/>
    <w:qFormat/>
    <w:rsid w:val="00420260"/>
    <w:pPr>
      <w:keepNext/>
      <w:numPr>
        <w:numId w:val="7"/>
      </w:numPr>
      <w:pBdr>
        <w:top w:val="single" w:sz="4" w:space="1" w:color="auto"/>
        <w:left w:val="single" w:sz="4" w:space="4" w:color="auto"/>
        <w:bottom w:val="single" w:sz="4" w:space="1" w:color="auto"/>
        <w:right w:val="single" w:sz="4" w:space="4" w:color="auto"/>
      </w:pBdr>
      <w:shd w:val="clear" w:color="auto" w:fill="D9D9D9"/>
      <w:spacing w:before="120"/>
      <w:outlineLvl w:val="0"/>
    </w:pPr>
    <w:rPr>
      <w:rFonts w:ascii="Arial" w:hAnsi="Arial" w:cs="Arial"/>
      <w:b/>
      <w:caps/>
      <w:snapToGrid w:val="0"/>
      <w:sz w:val="28"/>
      <w:szCs w:val="28"/>
    </w:rPr>
  </w:style>
  <w:style w:type="paragraph" w:styleId="Nadpis2">
    <w:name w:val="heading 2"/>
    <w:basedOn w:val="Normln"/>
    <w:next w:val="Normln"/>
    <w:link w:val="Nadpis2Char"/>
    <w:autoRedefine/>
    <w:qFormat/>
    <w:rsid w:val="003B2B9F"/>
    <w:pPr>
      <w:keepNext/>
      <w:numPr>
        <w:ilvl w:val="1"/>
        <w:numId w:val="7"/>
      </w:numPr>
      <w:spacing w:before="120"/>
      <w:ind w:left="709" w:rightChars="-142" w:right="-284" w:hanging="709"/>
      <w:outlineLvl w:val="1"/>
    </w:pPr>
    <w:rPr>
      <w:rFonts w:ascii="Arial" w:hAnsi="Arial"/>
      <w:b/>
      <w:caps/>
      <w:snapToGrid w:val="0"/>
      <w:sz w:val="24"/>
      <w:szCs w:val="24"/>
      <w:u w:val="single" w:color="333399"/>
      <w:lang w:val="x-none" w:eastAsia="x-none"/>
    </w:rPr>
  </w:style>
  <w:style w:type="paragraph" w:styleId="Nadpis3">
    <w:name w:val="heading 3"/>
    <w:basedOn w:val="Normln"/>
    <w:next w:val="Normln"/>
    <w:autoRedefine/>
    <w:qFormat/>
    <w:rsid w:val="001E5B40"/>
    <w:pPr>
      <w:keepNext/>
      <w:numPr>
        <w:ilvl w:val="2"/>
        <w:numId w:val="7"/>
      </w:numPr>
      <w:jc w:val="both"/>
      <w:outlineLvl w:val="2"/>
    </w:pPr>
    <w:rPr>
      <w:rFonts w:ascii="Arial" w:hAnsi="Arial" w:cs="Arial"/>
      <w:snapToGrid w:val="0"/>
    </w:rPr>
  </w:style>
  <w:style w:type="paragraph" w:styleId="Nadpis4">
    <w:name w:val="heading 4"/>
    <w:basedOn w:val="Normln"/>
    <w:next w:val="Normln"/>
    <w:autoRedefine/>
    <w:qFormat/>
    <w:pPr>
      <w:keepNext/>
      <w:numPr>
        <w:ilvl w:val="3"/>
        <w:numId w:val="7"/>
      </w:numPr>
      <w:spacing w:before="120"/>
      <w:outlineLvl w:val="3"/>
    </w:pPr>
    <w:rPr>
      <w:rFonts w:ascii="Arial" w:hAnsi="Arial"/>
      <w:i/>
      <w:snapToGrid w:val="0"/>
      <w:color w:val="333399"/>
      <w:sz w:val="24"/>
    </w:rPr>
  </w:style>
  <w:style w:type="paragraph" w:styleId="Nadpis5">
    <w:name w:val="heading 5"/>
    <w:basedOn w:val="Normln"/>
    <w:next w:val="Normln"/>
    <w:qFormat/>
    <w:pPr>
      <w:keepNext/>
      <w:numPr>
        <w:ilvl w:val="4"/>
        <w:numId w:val="1"/>
      </w:numPr>
      <w:spacing w:before="120"/>
      <w:outlineLvl w:val="4"/>
    </w:pPr>
    <w:rPr>
      <w:snapToGrid w:val="0"/>
      <w:sz w:val="24"/>
    </w:rPr>
  </w:style>
  <w:style w:type="paragraph" w:styleId="Nadpis6">
    <w:name w:val="heading 6"/>
    <w:basedOn w:val="Normln"/>
    <w:next w:val="Normln"/>
    <w:qFormat/>
    <w:pPr>
      <w:keepNext/>
      <w:numPr>
        <w:ilvl w:val="5"/>
        <w:numId w:val="1"/>
      </w:numPr>
      <w:outlineLvl w:val="5"/>
    </w:pPr>
    <w:rPr>
      <w:b/>
      <w:emboss/>
      <w:color w:val="FF0000"/>
      <w:sz w:val="40"/>
      <w:u w:val="single"/>
    </w:rPr>
  </w:style>
  <w:style w:type="paragraph" w:styleId="Nadpis7">
    <w:name w:val="heading 7"/>
    <w:basedOn w:val="Normln"/>
    <w:next w:val="Normln"/>
    <w:qFormat/>
    <w:pPr>
      <w:keepNext/>
      <w:numPr>
        <w:ilvl w:val="6"/>
        <w:numId w:val="1"/>
      </w:numPr>
      <w:spacing w:before="120"/>
      <w:outlineLvl w:val="6"/>
    </w:pPr>
    <w:rPr>
      <w:rFonts w:ascii="Arial" w:hAnsi="Arial"/>
      <w:snapToGrid w:val="0"/>
      <w:sz w:val="28"/>
    </w:rPr>
  </w:style>
  <w:style w:type="paragraph" w:styleId="Nadpis8">
    <w:name w:val="heading 8"/>
    <w:basedOn w:val="Normln"/>
    <w:next w:val="Normln"/>
    <w:qFormat/>
    <w:pPr>
      <w:keepNext/>
      <w:numPr>
        <w:ilvl w:val="7"/>
        <w:numId w:val="1"/>
      </w:numPr>
      <w:outlineLvl w:val="7"/>
    </w:pPr>
    <w:rPr>
      <w:rFonts w:ascii="Arial" w:hAnsi="Arial" w:cs="Arial"/>
      <w:color w:val="333399"/>
      <w:sz w:val="28"/>
    </w:rPr>
  </w:style>
  <w:style w:type="paragraph" w:styleId="Nadpis9">
    <w:name w:val="heading 9"/>
    <w:basedOn w:val="Normln"/>
    <w:next w:val="Normln"/>
    <w:qFormat/>
    <w:pPr>
      <w:keepNext/>
      <w:numPr>
        <w:ilvl w:val="8"/>
        <w:numId w:val="1"/>
      </w:numPr>
      <w:outlineLvl w:val="8"/>
    </w:pPr>
    <w:rPr>
      <w:rFonts w:ascii="Arial" w:hAnsi="Arial" w:cs="Arial"/>
      <w:b/>
      <w:bCs/>
      <w:color w:val="333399"/>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pPr>
      <w:jc w:val="center"/>
    </w:pPr>
    <w:rPr>
      <w:b/>
      <w:emboss/>
      <w:color w:val="FF0000"/>
      <w:sz w:val="40"/>
      <w:u w:val="single"/>
    </w:rPr>
  </w:style>
  <w:style w:type="paragraph" w:customStyle="1" w:styleId="Podtitul">
    <w:name w:val="Podtitul"/>
    <w:basedOn w:val="Normln"/>
    <w:qFormat/>
    <w:rPr>
      <w:b/>
      <w:emboss/>
      <w:sz w:val="24"/>
    </w:rPr>
  </w:style>
  <w:style w:type="paragraph" w:styleId="Zkladntext">
    <w:name w:val="Body Text"/>
    <w:basedOn w:val="Normln"/>
    <w:rPr>
      <w:b/>
      <w:sz w:val="28"/>
      <w:u w:val="single"/>
    </w:rPr>
  </w:style>
  <w:style w:type="paragraph" w:customStyle="1" w:styleId="dkanormln">
    <w:name w:val="Øádka normální"/>
    <w:basedOn w:val="Normln"/>
    <w:pPr>
      <w:jc w:val="both"/>
    </w:pPr>
    <w:rPr>
      <w:kern w:val="16"/>
      <w:sz w:val="24"/>
    </w:rPr>
  </w:style>
  <w:style w:type="paragraph" w:styleId="Zkladntext2">
    <w:name w:val="Body Text 2"/>
    <w:basedOn w:val="Normln"/>
    <w:link w:val="Zkladntext2Char"/>
    <w:pPr>
      <w:jc w:val="both"/>
    </w:pPr>
    <w:rPr>
      <w:snapToGrid w:val="0"/>
      <w:sz w:val="24"/>
    </w:rPr>
  </w:style>
  <w:style w:type="paragraph" w:styleId="Zkladntextodsazen">
    <w:name w:val="Body Text Indent"/>
    <w:basedOn w:val="Normln"/>
    <w:pPr>
      <w:spacing w:before="120"/>
      <w:ind w:left="1440"/>
    </w:pPr>
    <w:rPr>
      <w:i/>
      <w:snapToGrid w:val="0"/>
      <w:sz w:val="24"/>
    </w:rPr>
  </w:style>
  <w:style w:type="paragraph" w:styleId="Zkladntextodsazen2">
    <w:name w:val="Body Text Indent 2"/>
    <w:basedOn w:val="Normln"/>
    <w:pPr>
      <w:spacing w:before="120"/>
      <w:ind w:left="1440"/>
    </w:pPr>
    <w:rPr>
      <w:snapToGrid w:val="0"/>
      <w:sz w:val="24"/>
    </w:rPr>
  </w:style>
  <w:style w:type="paragraph" w:styleId="Zkladntextodsazen3">
    <w:name w:val="Body Text Indent 3"/>
    <w:basedOn w:val="Normln"/>
    <w:pPr>
      <w:spacing w:before="120"/>
      <w:ind w:left="1080"/>
      <w:jc w:val="both"/>
    </w:pPr>
    <w:rPr>
      <w:rFonts w:ascii="Arial" w:hAnsi="Arial"/>
      <w:snapToGrid w:val="0"/>
      <w:sz w:val="24"/>
    </w:rPr>
  </w:style>
  <w:style w:type="paragraph" w:styleId="Rozloendokumentu">
    <w:name w:val="Document Map"/>
    <w:basedOn w:val="Normln"/>
    <w:semiHidden/>
    <w:pPr>
      <w:shd w:val="clear" w:color="auto" w:fill="000080"/>
    </w:pPr>
    <w:rPr>
      <w:rFonts w:ascii="Tahoma" w:hAnsi="Tahoma" w:cs="Wingdings"/>
    </w:r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styleId="Obsah1">
    <w:name w:val="toc 1"/>
    <w:basedOn w:val="Normln"/>
    <w:next w:val="Normln"/>
    <w:autoRedefine/>
    <w:semiHidden/>
    <w:rsid w:val="007D6CBF"/>
    <w:pPr>
      <w:numPr>
        <w:ilvl w:val="2"/>
        <w:numId w:val="3"/>
      </w:numPr>
      <w:jc w:val="both"/>
    </w:pPr>
    <w:rPr>
      <w:rFonts w:ascii="Arial" w:hAnsi="Arial" w:cs="Arial"/>
      <w:b/>
      <w:snapToGrid w:val="0"/>
      <w:sz w:val="24"/>
    </w:rPr>
  </w:style>
  <w:style w:type="paragraph" w:styleId="Obsah2">
    <w:name w:val="toc 2"/>
    <w:basedOn w:val="Normln"/>
    <w:next w:val="Normln"/>
    <w:autoRedefine/>
    <w:semiHidden/>
    <w:pPr>
      <w:ind w:left="200"/>
    </w:pPr>
    <w:rPr>
      <w:smallCaps/>
      <w:szCs w:val="24"/>
    </w:rPr>
  </w:style>
  <w:style w:type="paragraph" w:styleId="Obsah3">
    <w:name w:val="toc 3"/>
    <w:basedOn w:val="Normln"/>
    <w:next w:val="Normln"/>
    <w:autoRedefine/>
    <w:semiHidden/>
    <w:pPr>
      <w:ind w:left="400"/>
    </w:pPr>
    <w:rPr>
      <w:i/>
      <w:iCs/>
      <w:szCs w:val="24"/>
    </w:rPr>
  </w:style>
  <w:style w:type="paragraph" w:styleId="Obsah4">
    <w:name w:val="toc 4"/>
    <w:basedOn w:val="Normln"/>
    <w:next w:val="Normln"/>
    <w:autoRedefine/>
    <w:semiHidden/>
    <w:pPr>
      <w:ind w:left="600"/>
    </w:pPr>
    <w:rPr>
      <w:szCs w:val="21"/>
    </w:rPr>
  </w:style>
  <w:style w:type="paragraph" w:styleId="Obsah5">
    <w:name w:val="toc 5"/>
    <w:basedOn w:val="Normln"/>
    <w:next w:val="Normln"/>
    <w:autoRedefine/>
    <w:semiHidden/>
    <w:pPr>
      <w:ind w:left="800"/>
    </w:pPr>
    <w:rPr>
      <w:szCs w:val="21"/>
    </w:rPr>
  </w:style>
  <w:style w:type="paragraph" w:styleId="Obsah6">
    <w:name w:val="toc 6"/>
    <w:basedOn w:val="Normln"/>
    <w:next w:val="Normln"/>
    <w:autoRedefine/>
    <w:semiHidden/>
    <w:pPr>
      <w:ind w:left="1000"/>
    </w:pPr>
    <w:rPr>
      <w:szCs w:val="21"/>
    </w:rPr>
  </w:style>
  <w:style w:type="paragraph" w:styleId="Obsah7">
    <w:name w:val="toc 7"/>
    <w:basedOn w:val="Normln"/>
    <w:next w:val="Normln"/>
    <w:autoRedefine/>
    <w:semiHidden/>
    <w:pPr>
      <w:ind w:left="1200"/>
    </w:pPr>
    <w:rPr>
      <w:szCs w:val="21"/>
    </w:rPr>
  </w:style>
  <w:style w:type="paragraph" w:styleId="Obsah8">
    <w:name w:val="toc 8"/>
    <w:basedOn w:val="Normln"/>
    <w:next w:val="Normln"/>
    <w:autoRedefine/>
    <w:semiHidden/>
    <w:pPr>
      <w:ind w:left="1400"/>
    </w:pPr>
    <w:rPr>
      <w:szCs w:val="21"/>
    </w:rPr>
  </w:style>
  <w:style w:type="paragraph" w:styleId="Obsah9">
    <w:name w:val="toc 9"/>
    <w:basedOn w:val="Normln"/>
    <w:next w:val="Normln"/>
    <w:autoRedefine/>
    <w:semiHidden/>
    <w:pPr>
      <w:ind w:left="1600"/>
    </w:pPr>
    <w:rPr>
      <w:szCs w:val="21"/>
    </w:rPr>
  </w:style>
  <w:style w:type="character" w:styleId="Hypertextovodkaz">
    <w:name w:val="Hyperlink"/>
    <w:rPr>
      <w:color w:val="0000FF"/>
      <w:u w:val="single"/>
    </w:rPr>
  </w:style>
  <w:style w:type="character" w:styleId="Sledovanodkaz">
    <w:name w:val="FollowedHyperlink"/>
    <w:rPr>
      <w:color w:val="800080"/>
      <w:u w:val="single"/>
    </w:rPr>
  </w:style>
  <w:style w:type="paragraph" w:styleId="Zhlav">
    <w:name w:val="header"/>
    <w:basedOn w:val="Normln"/>
    <w:pPr>
      <w:tabs>
        <w:tab w:val="center" w:pos="4536"/>
        <w:tab w:val="right" w:pos="9072"/>
      </w:tabs>
    </w:pPr>
  </w:style>
  <w:style w:type="paragraph" w:styleId="Zkladntext3">
    <w:name w:val="Body Text 3"/>
    <w:basedOn w:val="Normln"/>
    <w:pPr>
      <w:spacing w:before="120"/>
    </w:pPr>
    <w:rPr>
      <w:rFonts w:ascii="Arial" w:hAnsi="Arial"/>
      <w:b/>
      <w:sz w:val="28"/>
    </w:rPr>
  </w:style>
  <w:style w:type="paragraph" w:customStyle="1" w:styleId="Bintext">
    <w:name w:val="Biný text"/>
    <w:basedOn w:val="Normln"/>
    <w:pPr>
      <w:spacing w:before="60" w:after="60"/>
      <w:ind w:firstLine="851"/>
      <w:jc w:val="both"/>
    </w:pPr>
    <w:rPr>
      <w:rFonts w:ascii="Arial" w:hAnsi="Arial"/>
    </w:rPr>
  </w:style>
  <w:style w:type="paragraph" w:styleId="Prosttext">
    <w:name w:val="Plain Text"/>
    <w:basedOn w:val="Normln"/>
    <w:rPr>
      <w:rFonts w:ascii="Courier New" w:hAnsi="Courier New" w:cs="Courier New"/>
    </w:rPr>
  </w:style>
  <w:style w:type="paragraph" w:styleId="Normlnweb">
    <w:name w:val="Normal (Web)"/>
    <w:basedOn w:val="Normln"/>
    <w:pPr>
      <w:spacing w:before="100" w:beforeAutospacing="1" w:after="100" w:afterAutospacing="1"/>
    </w:pPr>
    <w:rPr>
      <w:rFonts w:ascii="Arial Unicode MS" w:eastAsia="Arial Unicode MS" w:hAnsi="Arial Unicode MS" w:cs="Arial Unicode MS"/>
      <w:sz w:val="24"/>
      <w:szCs w:val="24"/>
    </w:rPr>
  </w:style>
  <w:style w:type="paragraph" w:customStyle="1" w:styleId="Znaka">
    <w:name w:val="Značka"/>
    <w:pPr>
      <w:widowControl w:val="0"/>
      <w:autoSpaceDE w:val="0"/>
      <w:autoSpaceDN w:val="0"/>
      <w:adjustRightInd w:val="0"/>
      <w:ind w:left="578"/>
      <w:jc w:val="both"/>
    </w:pPr>
    <w:rPr>
      <w:color w:val="000000"/>
      <w:sz w:val="24"/>
      <w:szCs w:val="24"/>
    </w:rPr>
  </w:style>
  <w:style w:type="paragraph" w:customStyle="1" w:styleId="Normln0">
    <w:name w:val="Normální~"/>
    <w:basedOn w:val="Normln"/>
    <w:pPr>
      <w:widowControl w:val="0"/>
    </w:pPr>
    <w:rPr>
      <w:noProof/>
      <w:sz w:val="24"/>
    </w:rPr>
  </w:style>
  <w:style w:type="paragraph" w:customStyle="1" w:styleId="Textodstavce">
    <w:name w:val="Text odstavce"/>
    <w:basedOn w:val="Normln"/>
    <w:pPr>
      <w:numPr>
        <w:ilvl w:val="6"/>
        <w:numId w:val="2"/>
      </w:numPr>
      <w:tabs>
        <w:tab w:val="left" w:pos="851"/>
      </w:tabs>
      <w:spacing w:before="120" w:after="120"/>
      <w:jc w:val="both"/>
      <w:outlineLvl w:val="6"/>
    </w:pPr>
    <w:rPr>
      <w:sz w:val="24"/>
    </w:rPr>
  </w:style>
  <w:style w:type="paragraph" w:customStyle="1" w:styleId="Textbodu">
    <w:name w:val="Text bodu"/>
    <w:basedOn w:val="Normln"/>
    <w:pPr>
      <w:numPr>
        <w:ilvl w:val="8"/>
        <w:numId w:val="2"/>
      </w:numPr>
      <w:jc w:val="both"/>
      <w:outlineLvl w:val="8"/>
    </w:pPr>
    <w:rPr>
      <w:sz w:val="24"/>
    </w:rPr>
  </w:style>
  <w:style w:type="paragraph" w:customStyle="1" w:styleId="Textpsmene">
    <w:name w:val="Text písmene"/>
    <w:basedOn w:val="Normln"/>
    <w:pPr>
      <w:numPr>
        <w:ilvl w:val="7"/>
        <w:numId w:val="2"/>
      </w:numPr>
      <w:jc w:val="both"/>
      <w:outlineLvl w:val="7"/>
    </w:pPr>
    <w:rPr>
      <w:sz w:val="24"/>
    </w:rPr>
  </w:style>
  <w:style w:type="paragraph" w:styleId="Textpoznpodarou">
    <w:name w:val="footnote text"/>
    <w:basedOn w:val="Normln"/>
    <w:semiHidden/>
    <w:pPr>
      <w:tabs>
        <w:tab w:val="left" w:pos="425"/>
      </w:tabs>
      <w:ind w:left="425" w:hanging="425"/>
      <w:jc w:val="both"/>
    </w:pPr>
  </w:style>
  <w:style w:type="character" w:styleId="Znakapoznpodarou">
    <w:name w:val="footnote reference"/>
    <w:semiHidden/>
    <w:rPr>
      <w:vertAlign w:val="superscript"/>
    </w:rPr>
  </w:style>
  <w:style w:type="paragraph" w:customStyle="1" w:styleId="Textparagrafu">
    <w:name w:val="Text paragrafu"/>
    <w:basedOn w:val="Normln"/>
    <w:pPr>
      <w:spacing w:before="240"/>
      <w:ind w:firstLine="425"/>
      <w:jc w:val="both"/>
      <w:outlineLvl w:val="5"/>
    </w:pPr>
    <w:rPr>
      <w:sz w:val="24"/>
    </w:rPr>
  </w:style>
  <w:style w:type="paragraph" w:styleId="Textkomente">
    <w:name w:val="annotation text"/>
    <w:basedOn w:val="Normln"/>
    <w:link w:val="TextkomenteChar"/>
    <w:semiHidden/>
  </w:style>
  <w:style w:type="paragraph" w:styleId="Textvbloku">
    <w:name w:val="Block Text"/>
    <w:basedOn w:val="Normln"/>
    <w:pPr>
      <w:tabs>
        <w:tab w:val="num" w:pos="530"/>
      </w:tabs>
      <w:ind w:left="530" w:right="110"/>
      <w:jc w:val="both"/>
    </w:pPr>
    <w:rPr>
      <w:rFonts w:ascii="Arial" w:hAnsi="Arial" w:cs="Arial"/>
    </w:rPr>
  </w:style>
  <w:style w:type="paragraph" w:styleId="Titulek">
    <w:name w:val="caption"/>
    <w:basedOn w:val="Normln"/>
    <w:next w:val="Normln"/>
    <w:qFormat/>
    <w:rPr>
      <w:rFonts w:ascii="Arial" w:hAnsi="Arial" w:cs="Arial"/>
      <w:b/>
      <w:bCs/>
      <w:i/>
      <w:iCs/>
      <w:sz w:val="24"/>
      <w:u w:val="single"/>
    </w:rPr>
  </w:style>
  <w:style w:type="paragraph" w:customStyle="1" w:styleId="bullet-3TimesNewRoman">
    <w:name w:val="bullet-3 + Times New Roman"/>
    <w:aliases w:val="Vlevo:  0 cm,První řádek:  0 cm,Před:  6 b.,Ro..."/>
    <w:basedOn w:val="Normln"/>
    <w:pPr>
      <w:tabs>
        <w:tab w:val="left" w:pos="426"/>
        <w:tab w:val="left" w:pos="993"/>
      </w:tabs>
      <w:spacing w:before="120"/>
      <w:jc w:val="both"/>
    </w:pPr>
    <w:rPr>
      <w:snapToGrid w:val="0"/>
      <w:spacing w:val="6"/>
      <w:sz w:val="24"/>
      <w:szCs w:val="24"/>
      <w:lang w:eastAsia="en-US"/>
    </w:rPr>
  </w:style>
  <w:style w:type="character" w:styleId="Siln">
    <w:name w:val="Strong"/>
    <w:qFormat/>
    <w:rPr>
      <w:b/>
      <w:bCs/>
    </w:rPr>
  </w:style>
  <w:style w:type="paragraph" w:customStyle="1" w:styleId="Char">
    <w:name w:val="Char"/>
    <w:basedOn w:val="Normln"/>
    <w:rsid w:val="001C116A"/>
    <w:pPr>
      <w:spacing w:after="160" w:line="240" w:lineRule="exact"/>
      <w:jc w:val="both"/>
    </w:pPr>
    <w:rPr>
      <w:rFonts w:ascii="Times New Roman Bold" w:hAnsi="Times New Roman Bold"/>
      <w:sz w:val="22"/>
      <w:szCs w:val="26"/>
      <w:lang w:val="sk-SK" w:eastAsia="en-US"/>
    </w:rPr>
  </w:style>
  <w:style w:type="character" w:customStyle="1" w:styleId="Nadpis2Char">
    <w:name w:val="Nadpis 2 Char"/>
    <w:link w:val="Nadpis2"/>
    <w:rsid w:val="003B2B9F"/>
    <w:rPr>
      <w:rFonts w:ascii="Arial" w:hAnsi="Arial"/>
      <w:b/>
      <w:caps/>
      <w:snapToGrid w:val="0"/>
      <w:sz w:val="24"/>
      <w:szCs w:val="24"/>
      <w:u w:val="single" w:color="333399"/>
      <w:lang w:val="x-none" w:eastAsia="x-none"/>
    </w:rPr>
  </w:style>
  <w:style w:type="paragraph" w:customStyle="1" w:styleId="Smlouva">
    <w:name w:val="Smlouva"/>
    <w:rsid w:val="00E04E8E"/>
    <w:pPr>
      <w:widowControl w:val="0"/>
      <w:spacing w:after="120"/>
      <w:jc w:val="center"/>
    </w:pPr>
    <w:rPr>
      <w:b/>
      <w:snapToGrid w:val="0"/>
      <w:color w:val="FF0000"/>
      <w:sz w:val="36"/>
    </w:rPr>
  </w:style>
  <w:style w:type="paragraph" w:customStyle="1" w:styleId="Bodsmlouvy-21">
    <w:name w:val="Bod smlouvy - 2.1"/>
    <w:rsid w:val="00E04E8E"/>
    <w:pPr>
      <w:numPr>
        <w:ilvl w:val="1"/>
        <w:numId w:val="12"/>
      </w:numPr>
      <w:jc w:val="both"/>
      <w:outlineLvl w:val="1"/>
    </w:pPr>
    <w:rPr>
      <w:snapToGrid w:val="0"/>
      <w:color w:val="000000"/>
      <w:sz w:val="22"/>
    </w:rPr>
  </w:style>
  <w:style w:type="paragraph" w:customStyle="1" w:styleId="lnek">
    <w:name w:val="Článek"/>
    <w:basedOn w:val="Normln"/>
    <w:next w:val="Bodsmlouvy-21"/>
    <w:rsid w:val="00E04E8E"/>
    <w:pPr>
      <w:numPr>
        <w:numId w:val="12"/>
      </w:numPr>
      <w:spacing w:before="360" w:after="360"/>
      <w:jc w:val="center"/>
    </w:pPr>
    <w:rPr>
      <w:b/>
      <w:snapToGrid w:val="0"/>
      <w:color w:val="0000FF"/>
      <w:sz w:val="28"/>
    </w:rPr>
  </w:style>
  <w:style w:type="paragraph" w:customStyle="1" w:styleId="Bodsmlouvy-211">
    <w:name w:val="Bod smlouvy - 2.1.1"/>
    <w:basedOn w:val="Bodsmlouvy-21"/>
    <w:rsid w:val="00E04E8E"/>
    <w:pPr>
      <w:numPr>
        <w:ilvl w:val="2"/>
      </w:numPr>
      <w:tabs>
        <w:tab w:val="clear" w:pos="720"/>
        <w:tab w:val="num" w:pos="360"/>
        <w:tab w:val="left" w:pos="1134"/>
        <w:tab w:val="right" w:pos="9356"/>
      </w:tabs>
      <w:spacing w:after="60"/>
      <w:ind w:left="360" w:hanging="360"/>
      <w:outlineLvl w:val="2"/>
    </w:pPr>
  </w:style>
  <w:style w:type="paragraph" w:customStyle="1" w:styleId="StyllnekPed30b">
    <w:name w:val="Styl Článek + Před:  30 b."/>
    <w:basedOn w:val="lnek"/>
    <w:rsid w:val="00E04E8E"/>
    <w:pPr>
      <w:spacing w:before="600"/>
    </w:pPr>
    <w:rPr>
      <w:bCs/>
    </w:rPr>
  </w:style>
  <w:style w:type="character" w:customStyle="1" w:styleId="Zkladntext2Char">
    <w:name w:val="Základní text 2 Char"/>
    <w:link w:val="Zkladntext2"/>
    <w:rsid w:val="00E97735"/>
    <w:rPr>
      <w:snapToGrid w:val="0"/>
      <w:sz w:val="24"/>
    </w:rPr>
  </w:style>
  <w:style w:type="paragraph" w:customStyle="1" w:styleId="-wm-msonormal">
    <w:name w:val="-wm-msonormal"/>
    <w:basedOn w:val="Normln"/>
    <w:rsid w:val="00491A0F"/>
    <w:pPr>
      <w:spacing w:before="100" w:beforeAutospacing="1" w:after="100" w:afterAutospacing="1"/>
    </w:pPr>
    <w:rPr>
      <w:rFonts w:ascii="Calibri" w:eastAsia="Calibri" w:hAnsi="Calibri" w:cs="Calibri"/>
      <w:sz w:val="22"/>
      <w:szCs w:val="22"/>
    </w:rPr>
  </w:style>
  <w:style w:type="character" w:styleId="Odkaznakoment">
    <w:name w:val="annotation reference"/>
    <w:rsid w:val="004F7570"/>
    <w:rPr>
      <w:sz w:val="16"/>
      <w:szCs w:val="16"/>
    </w:rPr>
  </w:style>
  <w:style w:type="paragraph" w:styleId="Pedmtkomente">
    <w:name w:val="annotation subject"/>
    <w:basedOn w:val="Textkomente"/>
    <w:next w:val="Textkomente"/>
    <w:link w:val="PedmtkomenteChar"/>
    <w:rsid w:val="004F7570"/>
    <w:rPr>
      <w:b/>
      <w:bCs/>
    </w:rPr>
  </w:style>
  <w:style w:type="character" w:customStyle="1" w:styleId="TextkomenteChar">
    <w:name w:val="Text komentáře Char"/>
    <w:basedOn w:val="Standardnpsmoodstavce"/>
    <w:link w:val="Textkomente"/>
    <w:semiHidden/>
    <w:rsid w:val="004F7570"/>
  </w:style>
  <w:style w:type="character" w:customStyle="1" w:styleId="PedmtkomenteChar">
    <w:name w:val="Předmět komentáře Char"/>
    <w:link w:val="Pedmtkomente"/>
    <w:rsid w:val="004F757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132510">
      <w:bodyDiv w:val="1"/>
      <w:marLeft w:val="0"/>
      <w:marRight w:val="0"/>
      <w:marTop w:val="0"/>
      <w:marBottom w:val="0"/>
      <w:divBdr>
        <w:top w:val="none" w:sz="0" w:space="0" w:color="auto"/>
        <w:left w:val="none" w:sz="0" w:space="0" w:color="auto"/>
        <w:bottom w:val="none" w:sz="0" w:space="0" w:color="auto"/>
        <w:right w:val="none" w:sz="0" w:space="0" w:color="auto"/>
      </w:divBdr>
    </w:div>
    <w:div w:id="1218277694">
      <w:bodyDiv w:val="1"/>
      <w:marLeft w:val="0"/>
      <w:marRight w:val="0"/>
      <w:marTop w:val="0"/>
      <w:marBottom w:val="0"/>
      <w:divBdr>
        <w:top w:val="none" w:sz="0" w:space="0" w:color="auto"/>
        <w:left w:val="none" w:sz="0" w:space="0" w:color="auto"/>
        <w:bottom w:val="none" w:sz="0" w:space="0" w:color="auto"/>
        <w:right w:val="none" w:sz="0" w:space="0" w:color="auto"/>
      </w:divBdr>
    </w:div>
    <w:div w:id="1361272894">
      <w:bodyDiv w:val="1"/>
      <w:marLeft w:val="0"/>
      <w:marRight w:val="0"/>
      <w:marTop w:val="0"/>
      <w:marBottom w:val="0"/>
      <w:divBdr>
        <w:top w:val="none" w:sz="0" w:space="0" w:color="auto"/>
        <w:left w:val="none" w:sz="0" w:space="0" w:color="auto"/>
        <w:bottom w:val="none" w:sz="0" w:space="0" w:color="auto"/>
        <w:right w:val="none" w:sz="0" w:space="0" w:color="auto"/>
      </w:divBdr>
    </w:div>
    <w:div w:id="1594127073">
      <w:bodyDiv w:val="1"/>
      <w:marLeft w:val="0"/>
      <w:marRight w:val="0"/>
      <w:marTop w:val="0"/>
      <w:marBottom w:val="0"/>
      <w:divBdr>
        <w:top w:val="none" w:sz="0" w:space="0" w:color="auto"/>
        <w:left w:val="none" w:sz="0" w:space="0" w:color="auto"/>
        <w:bottom w:val="none" w:sz="0" w:space="0" w:color="auto"/>
        <w:right w:val="none" w:sz="0" w:space="0" w:color="auto"/>
      </w:divBdr>
    </w:div>
    <w:div w:id="2100757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enovasoustava.cz"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tridniky.cz" TargetMode="External"/><Relationship Id="rId4" Type="http://schemas.openxmlformats.org/officeDocument/2006/relationships/settings" Target="settings.xml"/><Relationship Id="rId9" Type="http://schemas.openxmlformats.org/officeDocument/2006/relationships/hyperlink" Target="https://www.urs.cz/"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I:\Souteze\zad&#225;vac&#237;%20dokumentace.dot"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8E1833-9328-4027-A11A-352D849A71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zadávací dokumentace</Template>
  <TotalTime>1</TotalTime>
  <Pages>6</Pages>
  <Words>2698</Words>
  <Characters>16597</Characters>
  <Application>Microsoft Office Word</Application>
  <DocSecurity>0</DocSecurity>
  <Lines>353</Lines>
  <Paragraphs>115</Paragraphs>
  <ScaleCrop>false</ScaleCrop>
  <HeadingPairs>
    <vt:vector size="2" baseType="variant">
      <vt:variant>
        <vt:lpstr>Název</vt:lpstr>
      </vt:variant>
      <vt:variant>
        <vt:i4>1</vt:i4>
      </vt:variant>
    </vt:vector>
  </HeadingPairs>
  <TitlesOfParts>
    <vt:vector size="1" baseType="lpstr">
      <vt:lpstr>^TVeřejná zakázka :^t Kompletní dodávka stavby</vt:lpstr>
    </vt:vector>
  </TitlesOfParts>
  <Company>RTS spol. s r.o.</Company>
  <LinksUpToDate>false</LinksUpToDate>
  <CharactersWithSpaces>19180</CharactersWithSpaces>
  <SharedDoc>false</SharedDoc>
  <HLinks>
    <vt:vector size="18" baseType="variant">
      <vt:variant>
        <vt:i4>6750261</vt:i4>
      </vt:variant>
      <vt:variant>
        <vt:i4>6</vt:i4>
      </vt:variant>
      <vt:variant>
        <vt:i4>0</vt:i4>
      </vt:variant>
      <vt:variant>
        <vt:i4>5</vt:i4>
      </vt:variant>
      <vt:variant>
        <vt:lpwstr>http://www.tridniky.cz/</vt:lpwstr>
      </vt:variant>
      <vt:variant>
        <vt:lpwstr/>
      </vt:variant>
      <vt:variant>
        <vt:i4>7208997</vt:i4>
      </vt:variant>
      <vt:variant>
        <vt:i4>3</vt:i4>
      </vt:variant>
      <vt:variant>
        <vt:i4>0</vt:i4>
      </vt:variant>
      <vt:variant>
        <vt:i4>5</vt:i4>
      </vt:variant>
      <vt:variant>
        <vt:lpwstr>https://www.urs.cz/</vt:lpwstr>
      </vt:variant>
      <vt:variant>
        <vt:lpwstr/>
      </vt:variant>
      <vt:variant>
        <vt:i4>68</vt:i4>
      </vt:variant>
      <vt:variant>
        <vt:i4>0</vt:i4>
      </vt:variant>
      <vt:variant>
        <vt:i4>0</vt:i4>
      </vt:variant>
      <vt:variant>
        <vt:i4>5</vt:i4>
      </vt:variant>
      <vt:variant>
        <vt:lpwstr>http://www.cenovasoustava.cz/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^TVeřejná zakázka :^t Kompletní dodávka stavby</dc:title>
  <dc:subject/>
  <dc:creator>RTS, a.s.</dc:creator>
  <cp:keywords/>
  <cp:lastModifiedBy>Martin Budiš</cp:lastModifiedBy>
  <cp:revision>3</cp:revision>
  <cp:lastPrinted>2011-12-06T11:53:00Z</cp:lastPrinted>
  <dcterms:created xsi:type="dcterms:W3CDTF">2025-10-28T07:34:00Z</dcterms:created>
  <dcterms:modified xsi:type="dcterms:W3CDTF">2025-10-29T19:06:00Z</dcterms:modified>
</cp:coreProperties>
</file>