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50BF9" w14:textId="15871EDD" w:rsidR="00FF2308" w:rsidRPr="000940FE" w:rsidRDefault="00FF2308" w:rsidP="00FF2308">
      <w:pPr>
        <w:rPr>
          <w:b/>
          <w:bCs/>
        </w:rPr>
      </w:pPr>
      <w:r>
        <w:t xml:space="preserve">Název veřejné zakázky: </w:t>
      </w:r>
      <w:r w:rsidR="00220E50" w:rsidRPr="00220E50">
        <w:rPr>
          <w:b/>
          <w:bCs/>
        </w:rPr>
        <w:t>KYBEZ města Litvínov – Implementace terminálových služeb zabezpečených vícefaktorovým ověřováním – RDS; §25 Aplikační bezpečnost vyhlášky č. 82/2018 o kybernetické bezpečnosti</w:t>
      </w:r>
    </w:p>
    <w:p w14:paraId="5397CF66" w14:textId="60ADB8F7" w:rsidR="00FF2308" w:rsidRDefault="00FF2308" w:rsidP="00FF2308">
      <w:r>
        <w:t xml:space="preserve">systémové číslo: </w:t>
      </w:r>
      <w:r w:rsidR="00220E50" w:rsidRPr="00220E50">
        <w:t>P25V00000</w:t>
      </w:r>
      <w:r w:rsidR="006D311B">
        <w:t>111</w:t>
      </w:r>
    </w:p>
    <w:p w14:paraId="1F22D60D" w14:textId="578B6BAF" w:rsidR="007A7223" w:rsidRDefault="00355F76" w:rsidP="00FF2308">
      <w:pPr>
        <w:pStyle w:val="Nadpis1"/>
      </w:pPr>
      <w:r>
        <w:t>P</w:t>
      </w:r>
      <w:r w:rsidR="00742F6B">
        <w:t xml:space="preserve">ředmět veřejné zakázky </w:t>
      </w:r>
    </w:p>
    <w:p w14:paraId="4EF0BE6A" w14:textId="0379C58B" w:rsidR="00FF2308" w:rsidRDefault="00FF2308" w:rsidP="000C24A9">
      <w:pPr>
        <w:jc w:val="both"/>
      </w:pPr>
      <w:r>
        <w:t>Předmětem veřejné zakázky je dodávka</w:t>
      </w:r>
      <w:r w:rsidR="00164AB5">
        <w:t xml:space="preserve"> a </w:t>
      </w:r>
      <w:r>
        <w:t>implementace technologií pro zvýšení kybernetické bezpečnosti informačních systémů (IS)</w:t>
      </w:r>
      <w:r w:rsidR="00164AB5">
        <w:t xml:space="preserve"> a </w:t>
      </w:r>
      <w:r>
        <w:t>komunikačních systémů (KS) zadavatele</w:t>
      </w:r>
      <w:r w:rsidR="00164AB5">
        <w:t xml:space="preserve"> </w:t>
      </w:r>
      <w:r>
        <w:t>(dále také jen</w:t>
      </w:r>
      <w:r w:rsidR="00896F3A">
        <w:t> </w:t>
      </w:r>
      <w:r>
        <w:t>„dodávka“, „systém“, „řešení“ nebo „technologie“)</w:t>
      </w:r>
      <w:r w:rsidR="000D159C">
        <w:t>. Dodavatel, se kterým bude uzavřena smlouva na plnění veřejné zakázky, je</w:t>
      </w:r>
      <w:r w:rsidR="00AA7B62">
        <w:t xml:space="preserve"> </w:t>
      </w:r>
      <w:r w:rsidR="000D159C">
        <w:t xml:space="preserve">povinen poskytnout </w:t>
      </w:r>
      <w:r w:rsidR="00D5749C">
        <w:t>zadavateli d</w:t>
      </w:r>
      <w:r w:rsidR="000D159C">
        <w:t>odávk</w:t>
      </w:r>
      <w:r w:rsidR="00D5749C">
        <w:t>y</w:t>
      </w:r>
      <w:r w:rsidR="000D159C">
        <w:t xml:space="preserve"> a služb</w:t>
      </w:r>
      <w:r w:rsidR="00D5749C">
        <w:t>y</w:t>
      </w:r>
      <w:r w:rsidR="000D159C">
        <w:t xml:space="preserve"> uveden</w:t>
      </w:r>
      <w:r w:rsidR="00D5749C">
        <w:t>é</w:t>
      </w:r>
      <w:r w:rsidR="000D159C">
        <w:t xml:space="preserve"> v</w:t>
      </w:r>
      <w:r w:rsidR="006347DE">
        <w:t xml:space="preserve"> následující </w:t>
      </w:r>
      <w:r w:rsidR="000D159C">
        <w:t xml:space="preserve">tabulce </w:t>
      </w:r>
      <w:r w:rsidR="00921EA1">
        <w:t xml:space="preserve">a dále </w:t>
      </w:r>
      <w:r w:rsidR="00D2497F">
        <w:t>specifikovan</w:t>
      </w:r>
      <w:r w:rsidR="00D5749C">
        <w:t>é</w:t>
      </w:r>
      <w:r w:rsidR="00921EA1">
        <w:t xml:space="preserve"> v dalších článcích této přílohy</w:t>
      </w:r>
      <w:r w:rsidR="00D5749C">
        <w:t>, jakož i takové související plnění, které je </w:t>
      </w:r>
      <w:r w:rsidR="00F978B4">
        <w:t>nezbytné pro</w:t>
      </w:r>
      <w:r w:rsidR="00D5749C">
        <w:t xml:space="preserve"> řádné poskytnutí takových dodávek a služeb a</w:t>
      </w:r>
      <w:r w:rsidR="00D2497F">
        <w:t xml:space="preserve"> </w:t>
      </w:r>
      <w:r w:rsidR="00DB4244">
        <w:t>funkčnost takových dodávek a služeb v prostředí zadavatele</w:t>
      </w:r>
      <w:r w:rsidR="006347DE">
        <w:t>:</w:t>
      </w:r>
    </w:p>
    <w:tbl>
      <w:tblPr>
        <w:tblW w:w="46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8"/>
        <w:gridCol w:w="5514"/>
      </w:tblGrid>
      <w:tr w:rsidR="00B61E90" w:rsidRPr="00FF2308" w14:paraId="1FACBE03" w14:textId="77777777" w:rsidTr="00B61E90">
        <w:trPr>
          <w:tblHeader/>
          <w:jc w:val="center"/>
        </w:trPr>
        <w:tc>
          <w:tcPr>
            <w:tcW w:w="1703" w:type="pct"/>
            <w:shd w:val="clear" w:color="auto" w:fill="B4C6E7" w:themeFill="accent1" w:themeFillTint="66"/>
            <w:vAlign w:val="center"/>
            <w:hideMark/>
          </w:tcPr>
          <w:p w14:paraId="6B20AD04" w14:textId="77777777" w:rsidR="00B61E90" w:rsidRPr="001F7743" w:rsidRDefault="00B61E90" w:rsidP="001F7743">
            <w:pPr>
              <w:jc w:val="center"/>
              <w:rPr>
                <w:b/>
                <w:bCs/>
              </w:rPr>
            </w:pPr>
            <w:r w:rsidRPr="001F7743">
              <w:rPr>
                <w:b/>
                <w:bCs/>
              </w:rPr>
              <w:t>Zajišťovaná oblast</w:t>
            </w:r>
          </w:p>
        </w:tc>
        <w:tc>
          <w:tcPr>
            <w:tcW w:w="3297" w:type="pct"/>
            <w:shd w:val="clear" w:color="auto" w:fill="B4C6E7" w:themeFill="accent1" w:themeFillTint="66"/>
            <w:vAlign w:val="center"/>
            <w:hideMark/>
          </w:tcPr>
          <w:p w14:paraId="5F9A5B80" w14:textId="77777777" w:rsidR="00B61E90" w:rsidRPr="001F7743" w:rsidRDefault="00B61E90" w:rsidP="001F7743">
            <w:pPr>
              <w:jc w:val="center"/>
              <w:rPr>
                <w:b/>
                <w:bCs/>
              </w:rPr>
            </w:pPr>
            <w:r w:rsidRPr="001F7743">
              <w:rPr>
                <w:b/>
                <w:bCs/>
              </w:rPr>
              <w:t>Stručný popis položky</w:t>
            </w:r>
          </w:p>
        </w:tc>
      </w:tr>
      <w:tr w:rsidR="00B61E90" w:rsidRPr="00FF2308" w14:paraId="717E62B3" w14:textId="77777777" w:rsidTr="00B61E90">
        <w:trPr>
          <w:jc w:val="center"/>
        </w:trPr>
        <w:tc>
          <w:tcPr>
            <w:tcW w:w="1703" w:type="pct"/>
            <w:vAlign w:val="center"/>
          </w:tcPr>
          <w:p w14:paraId="0B8E6730" w14:textId="08495E2B" w:rsidR="00B61E90" w:rsidRPr="00FF2308" w:rsidRDefault="008D2F01" w:rsidP="008D2F01">
            <w:pPr>
              <w:rPr>
                <w:rFonts w:eastAsia="MS ??"/>
              </w:rPr>
            </w:pPr>
            <w:r w:rsidRPr="008D2F01">
              <w:rPr>
                <w:rFonts w:eastAsia="MS ??"/>
              </w:rPr>
              <w:t>Zajištění aplikační bezpečnosti dle § 25 vyhlášky č. 82/2018 Sb. prostřednictvím centralizovaného přístupu k IS pomocí terminálových služeb, které minimalizují rizika manipulace a neoprávněného zásahu na straně klientských zařízení.</w:t>
            </w:r>
          </w:p>
        </w:tc>
        <w:tc>
          <w:tcPr>
            <w:tcW w:w="3297" w:type="pct"/>
          </w:tcPr>
          <w:p w14:paraId="7F5E0E11" w14:textId="0BF4A569" w:rsidR="008D2F01" w:rsidRDefault="00B61E90" w:rsidP="008D2F01">
            <w:pPr>
              <w:pStyle w:val="Odstavecseseznamem"/>
              <w:numPr>
                <w:ilvl w:val="0"/>
                <w:numId w:val="26"/>
              </w:numPr>
              <w:ind w:left="206" w:hanging="142"/>
            </w:pPr>
            <w:r>
              <w:t>P</w:t>
            </w:r>
            <w:r w:rsidRPr="00925A7B">
              <w:t xml:space="preserve">ořízení </w:t>
            </w:r>
            <w:r w:rsidR="008E0470">
              <w:t xml:space="preserve">SW </w:t>
            </w:r>
            <w:r w:rsidR="008D2F01">
              <w:t>licencí terminálových služeb.</w:t>
            </w:r>
          </w:p>
          <w:p w14:paraId="48087F60" w14:textId="47ACEC0C" w:rsidR="003B759C" w:rsidRDefault="003B759C" w:rsidP="008D2F01">
            <w:pPr>
              <w:pStyle w:val="Odstavecseseznamem"/>
              <w:numPr>
                <w:ilvl w:val="0"/>
                <w:numId w:val="26"/>
              </w:numPr>
              <w:ind w:left="206" w:hanging="142"/>
            </w:pPr>
            <w:r>
              <w:t xml:space="preserve">Pořízení mobilní aplikace umožňující </w:t>
            </w:r>
            <w:r w:rsidR="006D3EC1">
              <w:t>vícefaktorovou</w:t>
            </w:r>
            <w:r>
              <w:t xml:space="preserve"> autentizaci.</w:t>
            </w:r>
          </w:p>
          <w:p w14:paraId="41509A79" w14:textId="05960A9A" w:rsidR="00E66849" w:rsidRPr="00B61E90" w:rsidRDefault="00E66849" w:rsidP="00E66849">
            <w:pPr>
              <w:pStyle w:val="Odstavecseseznamem"/>
              <w:numPr>
                <w:ilvl w:val="0"/>
                <w:numId w:val="26"/>
              </w:numPr>
              <w:ind w:left="206" w:hanging="142"/>
            </w:pPr>
            <w:r>
              <w:t>I</w:t>
            </w:r>
            <w:r w:rsidRPr="00925A7B">
              <w:t>mplementace a související služby.</w:t>
            </w:r>
          </w:p>
        </w:tc>
      </w:tr>
    </w:tbl>
    <w:p w14:paraId="06AFFE89" w14:textId="77777777" w:rsidR="006347DE" w:rsidRDefault="006347DE" w:rsidP="006347DE">
      <w:pPr>
        <w:jc w:val="both"/>
      </w:pPr>
    </w:p>
    <w:p w14:paraId="28C46F30" w14:textId="77777777" w:rsidR="006347DE" w:rsidRDefault="006347DE" w:rsidP="006347DE">
      <w:pPr>
        <w:jc w:val="both"/>
      </w:pPr>
      <w:r>
        <w:t>Doporučuje se, aby dodavatel při realizaci veřejné zakázky postupoval podle doporučení výrobců dodávaného plnění a dle tzv. nejlepších praktik.</w:t>
      </w:r>
    </w:p>
    <w:p w14:paraId="18DC1DF5" w14:textId="0719AC56" w:rsidR="006347DE" w:rsidRDefault="006347DE" w:rsidP="000C24A9">
      <w:pPr>
        <w:jc w:val="both"/>
      </w:pPr>
      <w:r>
        <w:t>U technických parametrů</w:t>
      </w:r>
      <w:r w:rsidR="007822F7">
        <w:t xml:space="preserve"> plnění</w:t>
      </w:r>
      <w:r>
        <w:t>, u kterých není výslovně uvedeno, že jde o požadovanou minimální či maximální hodnotu, lze nabídnouti řešení „lepší“, tedy řešení přesahující (ve smyslu výhodnějším z pohledu užitné hodnoty) hodnotu stanoveného požadavku, pokud z této přílohy výslovně nevyplývá, že musí být splněna přesně daná hodnota.</w:t>
      </w:r>
    </w:p>
    <w:p w14:paraId="78F826A3" w14:textId="3D9FC12C" w:rsidR="00E07B2B" w:rsidRDefault="000D0702" w:rsidP="00E07B2B">
      <w:pPr>
        <w:pStyle w:val="Nadpis1"/>
      </w:pPr>
      <w:r>
        <w:t>Stávající a cílový</w:t>
      </w:r>
      <w:r w:rsidR="00E07B2B">
        <w:t xml:space="preserve"> stav</w:t>
      </w:r>
    </w:p>
    <w:p w14:paraId="421729B6" w14:textId="77777777" w:rsidR="009E7B13" w:rsidRDefault="009E7B13" w:rsidP="00E07B2B">
      <w:r w:rsidRPr="009E7B13">
        <w:t xml:space="preserve">Zadavatel provozuje vysoce dostupnou virtualizovanou infrastrukturu založenou na technologiích VMware a Microsoft. Tato infrastruktura je umístěna na třech fyzických serverech se softwarově definovaným úložištěm a disponuje dostatečnou výkonovou rezervou pro plánované rozšíření. Zadavatel má k dispozici licence Windows Server 2022 Datacenter, které umožňují provoz neomezeného počtu virtuálních serverů. </w:t>
      </w:r>
    </w:p>
    <w:p w14:paraId="6233C0A6" w14:textId="5A3BC591" w:rsidR="009E7B13" w:rsidRDefault="009E7B13" w:rsidP="00E07B2B">
      <w:r w:rsidRPr="009E7B13">
        <w:t>Většina klíčových informačních systémů (např. GINIS, VITA, FLUX, PowerKey) je v současnosti provozována v modelu klient–server, kdy aplikační klienty běží přímo na koncových pracovních stanicích uživatelů.</w:t>
      </w:r>
    </w:p>
    <w:p w14:paraId="6759B66A" w14:textId="77777777" w:rsidR="00C33030" w:rsidRDefault="00C33030" w:rsidP="00C33030">
      <w:r>
        <w:t>Zadavatel požaduje vybudování bezpečné a centralizované platformy pro vzdálený přístup zaměstnanců a spolupracujících osob k aplikačním prostředím i celým uživatelským desktopům. „Desktopem“ se v tomto kontextu rozumí buď pracovní plocha uživatele v rámci virtuálního prostředí, nebo samostatný desktopový operační systém provozovaný na serverové infrastruktuře – souhrnně označováno jako VDI (Virtual Desktop Infrastructure).</w:t>
      </w:r>
    </w:p>
    <w:p w14:paraId="682E413A" w14:textId="05CA535E" w:rsidR="00C33030" w:rsidRDefault="00C33030" w:rsidP="00C33030">
      <w:r>
        <w:lastRenderedPageBreak/>
        <w:t>Technické řešení bude navrženo s maximálním využitím stávajících kapacit – fyzických serverů, úložišť, síťových prvků, zálohovacích a bezpečnostních systémů. Pro provoz systému VDI budou pořízeny nezbytné softwarové licence</w:t>
      </w:r>
      <w:r w:rsidR="003B759C">
        <w:t xml:space="preserve"> včetně </w:t>
      </w:r>
      <w:r w:rsidR="006D3EC1">
        <w:t>vícefaktorovoého</w:t>
      </w:r>
      <w:r w:rsidR="003B759C">
        <w:t xml:space="preserve"> řešení, které zabezpečí ověřování externích uživatelů.</w:t>
      </w:r>
    </w:p>
    <w:p w14:paraId="1A95703A" w14:textId="77777777" w:rsidR="00C33030" w:rsidRDefault="00C33030" w:rsidP="00C33030">
      <w:r>
        <w:t>Pro bezpečný přístup externích uživatelů (např. zaměstnanců pracujících na dálku nebo pracovníků spolupracujících organizací) bude zřízen webový aplikační portál, který umožní přístup ke vzdáleným aplikacím a desktopům prostřednictvím webového rozhraní. Portál bude zabezpečen pomocí hvězdičkového SSL certifikátu vydaného důvěryhodnou certifikační autoritou, přičemž tento certifikát bude zajištěn zadavatelem.</w:t>
      </w:r>
    </w:p>
    <w:p w14:paraId="63118187" w14:textId="77777777" w:rsidR="00C33030" w:rsidRDefault="00C33030" w:rsidP="00C33030">
      <w:r>
        <w:t>Implementace VDI přinese sjednocení uživatelských pracovních prostředí, sníží nároky na jejich správu a umožní prodloužení životního cyklu koncových zařízení. Přesun uživatelských dat do centrální infrastruktury zároveň významně zvýší úroveň jejich zabezpečení proti ztrátě, poškození či kompromitaci.</w:t>
      </w:r>
    </w:p>
    <w:p w14:paraId="2D547E23" w14:textId="4DEE56E8" w:rsidR="00C33030" w:rsidRPr="00C33030" w:rsidRDefault="00C33030" w:rsidP="00C33030">
      <w:r>
        <w:t>Součástí dodávky bude veškeré potřebné licencování pro provoz 70 uživatelských relací v rámci nové virtualizační platformy</w:t>
      </w:r>
      <w:r w:rsidR="003B759C">
        <w:t xml:space="preserve"> včetně </w:t>
      </w:r>
      <w:r w:rsidR="006D3EC1">
        <w:t>vícefaktorového</w:t>
      </w:r>
      <w:r w:rsidR="003B759C">
        <w:t xml:space="preserve"> ověřování pomocí mobilní aplikace.</w:t>
      </w:r>
    </w:p>
    <w:p w14:paraId="02F712C9" w14:textId="6CF3C56A" w:rsidR="00164AB5" w:rsidRDefault="00164AB5" w:rsidP="00164AB5">
      <w:pPr>
        <w:pStyle w:val="Nadpis1"/>
      </w:pPr>
      <w:r>
        <w:t>Implementační služby</w:t>
      </w:r>
    </w:p>
    <w:p w14:paraId="21C3FD7B" w14:textId="75B5F1AC" w:rsidR="00164AB5" w:rsidRDefault="00164AB5" w:rsidP="00164AB5">
      <w:pPr>
        <w:pStyle w:val="Nadpis2"/>
        <w:numPr>
          <w:ilvl w:val="0"/>
          <w:numId w:val="10"/>
        </w:numPr>
      </w:pPr>
      <w:r>
        <w:t>Obecné požadavky</w:t>
      </w:r>
    </w:p>
    <w:p w14:paraId="1F7A43D7" w14:textId="54CFEBAD" w:rsidR="000D0702" w:rsidRDefault="000D0702" w:rsidP="000D0702">
      <w:pPr>
        <w:jc w:val="both"/>
      </w:pPr>
      <w:r w:rsidRPr="0025146D">
        <w:t>Zadavatel požaduje provedení následujících implementačních činností. Rozsah služeb zahrnuje minimálně tyto kroky:</w:t>
      </w:r>
    </w:p>
    <w:p w14:paraId="3089637A" w14:textId="77777777" w:rsidR="000D0702" w:rsidRDefault="000D0702" w:rsidP="000D0702">
      <w:pPr>
        <w:pStyle w:val="Odstavecseseznamem"/>
        <w:numPr>
          <w:ilvl w:val="0"/>
          <w:numId w:val="25"/>
        </w:numPr>
        <w:jc w:val="both"/>
      </w:pPr>
      <w:r w:rsidRPr="0025146D">
        <w:rPr>
          <w:b/>
          <w:bCs/>
        </w:rPr>
        <w:t>Zpracování prováděcí dokumentace</w:t>
      </w:r>
      <w:r>
        <w:t>, která musí být před zahájením realizace dodávek schválena zadavatelem. Tato dokumentace bude zahrnovat:</w:t>
      </w:r>
    </w:p>
    <w:p w14:paraId="21BA0707" w14:textId="77777777" w:rsidR="000D0702" w:rsidRDefault="000D0702" w:rsidP="000D0702">
      <w:pPr>
        <w:pStyle w:val="Odstavecseseznamem"/>
        <w:numPr>
          <w:ilvl w:val="1"/>
          <w:numId w:val="22"/>
        </w:numPr>
        <w:jc w:val="both"/>
      </w:pPr>
      <w:r>
        <w:t>předimplementační analýzu,</w:t>
      </w:r>
    </w:p>
    <w:p w14:paraId="78AC6ADC" w14:textId="77777777" w:rsidR="000D0702" w:rsidRDefault="000D0702" w:rsidP="000D0702">
      <w:pPr>
        <w:pStyle w:val="Odstavecseseznamem"/>
        <w:numPr>
          <w:ilvl w:val="1"/>
          <w:numId w:val="22"/>
        </w:numPr>
        <w:jc w:val="both"/>
      </w:pPr>
      <w:r>
        <w:t xml:space="preserve">návrh cílového konceptu řešen. </w:t>
      </w:r>
    </w:p>
    <w:p w14:paraId="098C7987" w14:textId="77777777" w:rsidR="000D0702" w:rsidRPr="0025146D" w:rsidRDefault="000D0702" w:rsidP="000D0702">
      <w:pPr>
        <w:pStyle w:val="Odstavecseseznamem"/>
        <w:numPr>
          <w:ilvl w:val="0"/>
          <w:numId w:val="22"/>
        </w:numPr>
      </w:pPr>
      <w:r w:rsidRPr="0025146D">
        <w:rPr>
          <w:b/>
          <w:bCs/>
        </w:rPr>
        <w:t>Dodávku a implementaci řešení</w:t>
      </w:r>
      <w:r w:rsidRPr="0025146D">
        <w:t xml:space="preserve"> v souladu se schváleným cílovým konceptem.</w:t>
      </w:r>
    </w:p>
    <w:p w14:paraId="6D1EF067" w14:textId="77777777" w:rsidR="000D0702" w:rsidRDefault="000D0702" w:rsidP="000D0702">
      <w:pPr>
        <w:pStyle w:val="Odstavecseseznamem"/>
        <w:numPr>
          <w:ilvl w:val="0"/>
          <w:numId w:val="22"/>
        </w:numPr>
        <w:jc w:val="both"/>
      </w:pPr>
      <w:r w:rsidRPr="0025146D">
        <w:rPr>
          <w:b/>
          <w:bCs/>
        </w:rPr>
        <w:t>Zajištění projektového řízení</w:t>
      </w:r>
      <w:r w:rsidRPr="0025146D">
        <w:t xml:space="preserve"> po celou dobu realizace zakázky.</w:t>
      </w:r>
    </w:p>
    <w:p w14:paraId="56F9A0BE" w14:textId="1B818F96" w:rsidR="000D0702" w:rsidRDefault="000D0702" w:rsidP="000D0702">
      <w:pPr>
        <w:pStyle w:val="Odstavecseseznamem"/>
        <w:numPr>
          <w:ilvl w:val="0"/>
          <w:numId w:val="22"/>
        </w:numPr>
        <w:jc w:val="both"/>
      </w:pPr>
      <w:r w:rsidRPr="0025146D">
        <w:rPr>
          <w:b/>
          <w:bCs/>
        </w:rPr>
        <w:t>Zpracování školicích materiálů a realizaci školení</w:t>
      </w:r>
      <w:r w:rsidRPr="0025146D">
        <w:t xml:space="preserve"> pro 3 administrátory v sídle zadavatele v rozsahu </w:t>
      </w:r>
      <w:r>
        <w:t>1</w:t>
      </w:r>
      <w:r w:rsidRPr="0025146D">
        <w:t xml:space="preserve"> pracovníh</w:t>
      </w:r>
      <w:r>
        <w:t>o</w:t>
      </w:r>
      <w:r w:rsidRPr="0025146D">
        <w:t xml:space="preserve"> dn</w:t>
      </w:r>
      <w:r>
        <w:t>e</w:t>
      </w:r>
      <w:r w:rsidRPr="0025146D">
        <w:t>.</w:t>
      </w:r>
    </w:p>
    <w:p w14:paraId="419886A5" w14:textId="5205131F" w:rsidR="000D0702" w:rsidRDefault="000D0702" w:rsidP="000D0702">
      <w:pPr>
        <w:pStyle w:val="Odstavecseseznamem"/>
        <w:numPr>
          <w:ilvl w:val="0"/>
          <w:numId w:val="22"/>
        </w:numPr>
        <w:jc w:val="both"/>
      </w:pPr>
      <w:r w:rsidRPr="0025146D">
        <w:rPr>
          <w:b/>
          <w:bCs/>
        </w:rPr>
        <w:t>Zajištění zkušebního provozu</w:t>
      </w:r>
      <w:r w:rsidRPr="0025146D">
        <w:t xml:space="preserve"> v délce minimálně 14 kalendářních dnů. Během tohoto období musí být k dispozici technická podpora alespoň </w:t>
      </w:r>
      <w:r w:rsidR="00FB7FF6">
        <w:t>jednoho</w:t>
      </w:r>
      <w:r w:rsidRPr="0025146D">
        <w:t xml:space="preserve"> specialist</w:t>
      </w:r>
      <w:r w:rsidR="00FB7FF6">
        <w:t>y</w:t>
      </w:r>
      <w:r w:rsidRPr="0025146D">
        <w:t xml:space="preserve"> na dodané řešení, s maximální dobou </w:t>
      </w:r>
      <w:r w:rsidR="00240A1D">
        <w:t>reakce</w:t>
      </w:r>
      <w:r w:rsidRPr="0025146D">
        <w:t xml:space="preserve"> 3 hodiny od nahlášení požadavku v pracovních dnech mezi 8:00 a 17:00.</w:t>
      </w:r>
    </w:p>
    <w:p w14:paraId="137237D1" w14:textId="77777777" w:rsidR="000D0702" w:rsidRPr="0025146D" w:rsidRDefault="000D0702" w:rsidP="000D0702">
      <w:pPr>
        <w:pStyle w:val="Odstavecseseznamem"/>
        <w:numPr>
          <w:ilvl w:val="0"/>
          <w:numId w:val="22"/>
        </w:numPr>
        <w:jc w:val="both"/>
      </w:pPr>
      <w:r w:rsidRPr="0025146D">
        <w:rPr>
          <w:b/>
          <w:bCs/>
        </w:rPr>
        <w:t>Předání systému do ostrého provozu</w:t>
      </w:r>
      <w:r w:rsidRPr="0025146D">
        <w:t>. Akceptace bude provedena pouze v případě úspěšného ukončení bezproblémového zkušebního provozu.</w:t>
      </w:r>
    </w:p>
    <w:p w14:paraId="1FD41888" w14:textId="77777777" w:rsidR="000D0702" w:rsidRDefault="000D0702" w:rsidP="000D0702">
      <w:pPr>
        <w:jc w:val="both"/>
        <w:rPr>
          <w:kern w:val="0"/>
          <w14:ligatures w14:val="none"/>
        </w:rPr>
      </w:pPr>
      <w:r w:rsidRPr="0025146D">
        <w:rPr>
          <w:kern w:val="0"/>
          <w14:ligatures w14:val="none"/>
        </w:rPr>
        <w:t>Veškeré náklady spojené s implementačními službami a školením musí být zahrnuty v nabídkové ceně (neuvádějí se samostatně).</w:t>
      </w:r>
    </w:p>
    <w:p w14:paraId="26BDD773" w14:textId="77777777" w:rsidR="000D0702" w:rsidRDefault="000D0702" w:rsidP="000D0702">
      <w:pPr>
        <w:jc w:val="both"/>
      </w:pPr>
      <w:r w:rsidRPr="0025146D">
        <w:t>Všechny dodané dokumenty musí být vyhotoveny výhradně v českém jazyce a předány v elektronické podobě ve standardních formátech používaných zadavatelem (např. MS Office).</w:t>
      </w:r>
    </w:p>
    <w:p w14:paraId="0CBFF551" w14:textId="446D05C9" w:rsidR="005725E4" w:rsidRDefault="005725E4" w:rsidP="005725E4">
      <w:pPr>
        <w:pStyle w:val="Nadpis2"/>
      </w:pPr>
      <w:r>
        <w:t>Požadavky na zpracování prováděcí dokumentace</w:t>
      </w:r>
    </w:p>
    <w:p w14:paraId="5B22213C" w14:textId="77777777" w:rsidR="000D0702" w:rsidRDefault="000D0702" w:rsidP="000D0702">
      <w:pPr>
        <w:jc w:val="both"/>
      </w:pPr>
      <w:r>
        <w:t>Dodavatel před zahájením implementačních prací zpracuje prováděcí dokumentaci, která bude vycházet z předimplementační analýzy a bude obsahovat veškeré aktivity nezbytné pro úspěšnou realizaci předmětu plnění.</w:t>
      </w:r>
    </w:p>
    <w:p w14:paraId="4761E87E" w14:textId="77777777" w:rsidR="000D0702" w:rsidRDefault="000D0702" w:rsidP="000D0702">
      <w:pPr>
        <w:spacing w:after="160" w:line="259" w:lineRule="auto"/>
      </w:pPr>
      <w:r>
        <w:br w:type="page"/>
      </w:r>
    </w:p>
    <w:p w14:paraId="1221009E" w14:textId="77777777" w:rsidR="000D0702" w:rsidRDefault="000D0702" w:rsidP="000D0702">
      <w:pPr>
        <w:jc w:val="both"/>
      </w:pPr>
      <w:r>
        <w:lastRenderedPageBreak/>
        <w:t>Předimplementační analýza bude reflektovat aktuální prostředí zadavatele a navrhované řešení dodavatele. Minimálně bude zahrnovat tyto oblasti:</w:t>
      </w:r>
    </w:p>
    <w:p w14:paraId="2E01D460" w14:textId="77777777" w:rsidR="000D0702" w:rsidRDefault="000D0702" w:rsidP="000D0702">
      <w:pPr>
        <w:pStyle w:val="Odstavecseseznamem"/>
        <w:numPr>
          <w:ilvl w:val="0"/>
          <w:numId w:val="14"/>
        </w:numPr>
        <w:jc w:val="both"/>
      </w:pPr>
      <w:r>
        <w:t>Analýzu stávající konfigurace a vazeb na související systémy,</w:t>
      </w:r>
    </w:p>
    <w:p w14:paraId="173D3122" w14:textId="77777777" w:rsidR="000D0702" w:rsidRDefault="000D0702" w:rsidP="000D0702">
      <w:pPr>
        <w:pStyle w:val="Odstavecseseznamem"/>
        <w:numPr>
          <w:ilvl w:val="0"/>
          <w:numId w:val="14"/>
        </w:numPr>
        <w:jc w:val="both"/>
      </w:pPr>
      <w:r>
        <w:t>Identifikaci požadované součinnosti ze strany zadavatele.</w:t>
      </w:r>
    </w:p>
    <w:p w14:paraId="4C3030DF" w14:textId="77777777" w:rsidR="000D0702" w:rsidRDefault="000D0702" w:rsidP="000D0702">
      <w:pPr>
        <w:jc w:val="both"/>
      </w:pPr>
      <w:r>
        <w:t>Na základě této analýzy bude vytvořen cílový koncept, který zohlední výchozí stav i technické parametry nabízeného řešení. Cílový koncept bude obsahovat minimálně:</w:t>
      </w:r>
    </w:p>
    <w:p w14:paraId="6FCFBB5E" w14:textId="77777777" w:rsidR="000D0702" w:rsidRDefault="000D0702" w:rsidP="000D0702">
      <w:pPr>
        <w:pStyle w:val="Odstavecseseznamem"/>
        <w:numPr>
          <w:ilvl w:val="0"/>
          <w:numId w:val="15"/>
        </w:numPr>
        <w:jc w:val="both"/>
      </w:pPr>
      <w:r w:rsidRPr="0025146D">
        <w:t>podrobný popis cílového stavu a funkcionality jednotlivých částí řešení,</w:t>
      </w:r>
    </w:p>
    <w:p w14:paraId="0F53F59E" w14:textId="77777777" w:rsidR="000D0702" w:rsidRPr="0025146D" w:rsidRDefault="000D0702" w:rsidP="000D0702">
      <w:pPr>
        <w:pStyle w:val="Odstavecseseznamem"/>
        <w:numPr>
          <w:ilvl w:val="0"/>
          <w:numId w:val="15"/>
        </w:numPr>
      </w:pPr>
      <w:r w:rsidRPr="0025146D">
        <w:t>přehled nutných a doporučených optimalizačních a konfiguračních změn navázaných systémů,</w:t>
      </w:r>
    </w:p>
    <w:p w14:paraId="3126355F" w14:textId="77777777" w:rsidR="000D0702" w:rsidRPr="0025146D" w:rsidRDefault="000D0702" w:rsidP="000D0702">
      <w:pPr>
        <w:pStyle w:val="Odstavecseseznamem"/>
        <w:numPr>
          <w:ilvl w:val="0"/>
          <w:numId w:val="15"/>
        </w:numPr>
      </w:pPr>
      <w:r w:rsidRPr="0025146D">
        <w:t>způsob zajištění jednotlivých dodávek a služeb, včetně časového harmonogramu,</w:t>
      </w:r>
    </w:p>
    <w:p w14:paraId="21DA45AB" w14:textId="77777777" w:rsidR="000D0702" w:rsidRPr="0025146D" w:rsidRDefault="000D0702" w:rsidP="000D0702">
      <w:pPr>
        <w:pStyle w:val="Odstavecseseznamem"/>
        <w:numPr>
          <w:ilvl w:val="0"/>
          <w:numId w:val="15"/>
        </w:numPr>
      </w:pPr>
      <w:r w:rsidRPr="0025146D">
        <w:t>detailní návrh implementačního postupu,</w:t>
      </w:r>
    </w:p>
    <w:p w14:paraId="4DAF87E3" w14:textId="77777777" w:rsidR="000D0702" w:rsidRPr="0025146D" w:rsidRDefault="000D0702" w:rsidP="000D0702">
      <w:pPr>
        <w:pStyle w:val="Odstavecseseznamem"/>
        <w:numPr>
          <w:ilvl w:val="0"/>
          <w:numId w:val="15"/>
        </w:numPr>
      </w:pPr>
      <w:r w:rsidRPr="0025146D">
        <w:t>způsob zajištění informační bezpečnosti,</w:t>
      </w:r>
    </w:p>
    <w:p w14:paraId="61FCF657" w14:textId="77777777" w:rsidR="000D0702" w:rsidRPr="0025146D" w:rsidRDefault="000D0702" w:rsidP="000D0702">
      <w:pPr>
        <w:pStyle w:val="Odstavecseseznamem"/>
        <w:numPr>
          <w:ilvl w:val="0"/>
          <w:numId w:val="15"/>
        </w:numPr>
      </w:pPr>
      <w:r w:rsidRPr="0025146D">
        <w:t>projektový harmonogram s vyznačením klíčových milníků,</w:t>
      </w:r>
    </w:p>
    <w:p w14:paraId="40835081" w14:textId="77777777" w:rsidR="000D0702" w:rsidRPr="0025146D" w:rsidRDefault="000D0702" w:rsidP="000D0702">
      <w:pPr>
        <w:pStyle w:val="Odstavecseseznamem"/>
        <w:numPr>
          <w:ilvl w:val="0"/>
          <w:numId w:val="15"/>
        </w:numPr>
      </w:pPr>
      <w:r w:rsidRPr="0025146D">
        <w:t>popis vazeb na stávající systémy a jejich konfiguraci,</w:t>
      </w:r>
    </w:p>
    <w:p w14:paraId="08B44A18" w14:textId="77777777" w:rsidR="000D0702" w:rsidRPr="002017A1" w:rsidRDefault="000D0702" w:rsidP="000D0702">
      <w:pPr>
        <w:pStyle w:val="Odstavecseseznamem"/>
        <w:numPr>
          <w:ilvl w:val="0"/>
          <w:numId w:val="15"/>
        </w:numPr>
      </w:pPr>
      <w:r w:rsidRPr="002017A1">
        <w:t>návrh akceptačních kritérií a testovacích scénářů,</w:t>
      </w:r>
    </w:p>
    <w:p w14:paraId="078B3D69" w14:textId="77777777" w:rsidR="000D0702" w:rsidRDefault="000D0702" w:rsidP="000D0702">
      <w:pPr>
        <w:pStyle w:val="Odstavecseseznamem"/>
        <w:numPr>
          <w:ilvl w:val="0"/>
          <w:numId w:val="15"/>
        </w:numPr>
      </w:pPr>
      <w:r w:rsidRPr="002017A1">
        <w:t>specifikaci školení, jejich obsahu a rozsahu,</w:t>
      </w:r>
    </w:p>
    <w:p w14:paraId="03BF8B96" w14:textId="77777777" w:rsidR="000D0702" w:rsidRDefault="000D0702" w:rsidP="000D0702">
      <w:pPr>
        <w:pStyle w:val="Odstavecseseznamem"/>
        <w:numPr>
          <w:ilvl w:val="0"/>
          <w:numId w:val="15"/>
        </w:numPr>
      </w:pPr>
      <w:r w:rsidRPr="002017A1">
        <w:t>přehled a strukturu provozní dokumentace.</w:t>
      </w:r>
    </w:p>
    <w:p w14:paraId="4CBD5E1D" w14:textId="77777777" w:rsidR="000D0702" w:rsidRDefault="000D0702" w:rsidP="000D0702">
      <w:pPr>
        <w:jc w:val="both"/>
      </w:pPr>
      <w:r>
        <w:t>V návrhu akceptačních kritérií a testovacích scénářů budou minimálně tyto kritéria:</w:t>
      </w:r>
    </w:p>
    <w:p w14:paraId="49CCC298" w14:textId="6CFE7258" w:rsidR="007D56EE" w:rsidRDefault="007D56EE" w:rsidP="000D0702">
      <w:pPr>
        <w:pStyle w:val="Odstavecseseznamem"/>
        <w:numPr>
          <w:ilvl w:val="0"/>
          <w:numId w:val="33"/>
        </w:numPr>
      </w:pPr>
      <w:r>
        <w:t>Uživatel se registruje do uživatelského portálu vícefaktorového řešení, provede instalaci aplikace na svém mobilním zařízení a před přihlášením k RDS Host serveru se vícefaktorově ověří.</w:t>
      </w:r>
    </w:p>
    <w:p w14:paraId="660D6AE3" w14:textId="5064E5B2" w:rsidR="000D0702" w:rsidRDefault="000D0702" w:rsidP="000D0702">
      <w:pPr>
        <w:pStyle w:val="Odstavecseseznamem"/>
        <w:numPr>
          <w:ilvl w:val="0"/>
          <w:numId w:val="33"/>
        </w:numPr>
      </w:pPr>
      <w:r>
        <w:t>Uživatel se přihlásí na „celý“ desktop a uvidí kompletní prostředí RD</w:t>
      </w:r>
      <w:r w:rsidR="007D56EE">
        <w:t>S</w:t>
      </w:r>
      <w:r>
        <w:t xml:space="preserve"> Host serveru, které odpovídá prostředí desktopového operačního systému Windows.</w:t>
      </w:r>
    </w:p>
    <w:p w14:paraId="2BCA8086" w14:textId="57C18B16" w:rsidR="000D0702" w:rsidRDefault="000D0702" w:rsidP="000D0702">
      <w:pPr>
        <w:pStyle w:val="Odstavecseseznamem"/>
        <w:numPr>
          <w:ilvl w:val="0"/>
          <w:numId w:val="33"/>
        </w:numPr>
      </w:pPr>
      <w:r>
        <w:t>Uživateli se spustí pouze publikovaná aplikace, která je graficky plně integrovaná do stávajícího klientského operačního systému nebo zpřístupněna přes webové rozhraní.</w:t>
      </w:r>
    </w:p>
    <w:p w14:paraId="12B16A67" w14:textId="746A12A3" w:rsidR="000D0702" w:rsidRDefault="000D0702" w:rsidP="000D0702">
      <w:pPr>
        <w:pStyle w:val="Odstavecseseznamem"/>
        <w:numPr>
          <w:ilvl w:val="0"/>
          <w:numId w:val="33"/>
        </w:numPr>
      </w:pPr>
      <w:r>
        <w:t>Uživateli má možnost přihlásit se na svou desktopovou stanici přes webový https portál.</w:t>
      </w:r>
    </w:p>
    <w:p w14:paraId="3B4B9D1A" w14:textId="2459EB81" w:rsidR="000D0702" w:rsidRDefault="000D0702" w:rsidP="000D0702">
      <w:pPr>
        <w:pStyle w:val="Odstavecseseznamem"/>
        <w:numPr>
          <w:ilvl w:val="0"/>
          <w:numId w:val="33"/>
        </w:numPr>
      </w:pPr>
      <w:r>
        <w:t>Vybraný uživatel provede testovací tisk.</w:t>
      </w:r>
    </w:p>
    <w:p w14:paraId="5ED6C450" w14:textId="3A05D873" w:rsidR="000D0702" w:rsidRDefault="000D0702" w:rsidP="000D0702">
      <w:pPr>
        <w:pStyle w:val="Odstavecseseznamem"/>
        <w:numPr>
          <w:ilvl w:val="0"/>
          <w:numId w:val="33"/>
        </w:numPr>
      </w:pPr>
      <w:r>
        <w:t>Proběhlo zaškolení obsluhy v rozsahu 1 dne na místě pro 3 administrátory.</w:t>
      </w:r>
    </w:p>
    <w:p w14:paraId="25F44F11" w14:textId="28AC8A1C" w:rsidR="000D0702" w:rsidRPr="002017A1" w:rsidRDefault="000D0702" w:rsidP="000D0702">
      <w:pPr>
        <w:pStyle w:val="Odstavecseseznamem"/>
        <w:numPr>
          <w:ilvl w:val="0"/>
          <w:numId w:val="33"/>
        </w:numPr>
      </w:pPr>
      <w:r>
        <w:t>V Active Directory existují skupiny pro definic přístupů k plnému desktopu i webovému portálu.</w:t>
      </w:r>
    </w:p>
    <w:p w14:paraId="4A86DB4C" w14:textId="77777777" w:rsidR="000D0702" w:rsidRDefault="000D0702" w:rsidP="000D0702">
      <w:pPr>
        <w:jc w:val="both"/>
      </w:pPr>
      <w:r w:rsidRPr="002017A1">
        <w:t>Po předání dokumentace bude mít zadavatel lhůtu 10 pracovních dnů na její připomínkování. Dodavatel je povinen všechny připomínky vypořádat – buď jejich zapracováním, nebo formou písemného a odůvodněného odmítnutí v případě, že je považuje za nevalidní. Zadavatel nebude dokumentaci opravovat, ale pouze vyznačí věcné nebo formální nedostatky.</w:t>
      </w:r>
    </w:p>
    <w:p w14:paraId="3297CF4C" w14:textId="77777777" w:rsidR="000D0702" w:rsidRPr="002017A1" w:rsidRDefault="000D0702" w:rsidP="000D0702">
      <w:r w:rsidRPr="002017A1">
        <w:t>Prováděcí dokumentace musí být výslovně schválena zadavatelem před zahájením dalších etap plnění.</w:t>
      </w:r>
    </w:p>
    <w:p w14:paraId="04F8648A" w14:textId="77777777" w:rsidR="000D0702" w:rsidRDefault="000D0702" w:rsidP="000D0702">
      <w:pPr>
        <w:jc w:val="both"/>
      </w:pPr>
      <w:r w:rsidRPr="002017A1">
        <w:t>Po realizaci implementace bude dokumentace aktualizována dle skutečně provedeného stavu, včetně všech konfigurací, nastavení a analytických výstupů. Tato aktualizovaná dokumentace bude nedílnou součástí dokumentace předávané v rámci akceptačního protokolu.</w:t>
      </w:r>
    </w:p>
    <w:p w14:paraId="35CB903A" w14:textId="77777777" w:rsidR="000D0702" w:rsidRDefault="000D0702" w:rsidP="000D0702">
      <w:pPr>
        <w:pStyle w:val="Nadpis1"/>
      </w:pPr>
      <w:r>
        <w:t>Požadované parametry technického řešení</w:t>
      </w:r>
    </w:p>
    <w:p w14:paraId="68CCEB4C" w14:textId="64373899" w:rsidR="003B759C" w:rsidRDefault="003B759C" w:rsidP="003B759C">
      <w:pPr>
        <w:pStyle w:val="Nadpis2"/>
        <w:numPr>
          <w:ilvl w:val="0"/>
          <w:numId w:val="37"/>
        </w:numPr>
      </w:pPr>
      <w:r>
        <w:t>Terminálové služby</w:t>
      </w:r>
    </w:p>
    <w:p w14:paraId="334246FB" w14:textId="67A96678" w:rsidR="00C33030" w:rsidRDefault="00C33030" w:rsidP="00C33030">
      <w:r>
        <w:t>Řešení musí být univerzální, modulární a škálovatelné, s možností jednoduchého rozšíření přidáváním RDS hostitelů bez nutnosti zásahu do architektury nebo redesignu systému.</w:t>
      </w:r>
    </w:p>
    <w:p w14:paraId="60708C9A" w14:textId="50428600" w:rsidR="00C33030" w:rsidRDefault="00C33030" w:rsidP="00C33030">
      <w:r>
        <w:t xml:space="preserve">Implementace </w:t>
      </w:r>
      <w:r w:rsidR="007D56EE">
        <w:t>terminálových služeb</w:t>
      </w:r>
      <w:r>
        <w:t xml:space="preserve"> bude minimálně v tomto rozsahu:</w:t>
      </w:r>
    </w:p>
    <w:p w14:paraId="10B84ED7" w14:textId="65FF071D" w:rsidR="00C33030" w:rsidRDefault="00C33030" w:rsidP="00C33030">
      <w:pPr>
        <w:pStyle w:val="Odstavecseseznamem"/>
        <w:numPr>
          <w:ilvl w:val="0"/>
          <w:numId w:val="32"/>
        </w:numPr>
      </w:pPr>
      <w:r>
        <w:lastRenderedPageBreak/>
        <w:t>Příprava prostředí pro 70 uživatelských relací.</w:t>
      </w:r>
    </w:p>
    <w:p w14:paraId="0B53CF47" w14:textId="77777777" w:rsidR="00C33030" w:rsidRDefault="00C33030" w:rsidP="00C33030">
      <w:pPr>
        <w:pStyle w:val="Odstavecseseznamem"/>
        <w:numPr>
          <w:ilvl w:val="0"/>
          <w:numId w:val="32"/>
        </w:numPr>
      </w:pPr>
      <w:r>
        <w:t>Testování funkčnosti aplikací, periferních zařízení (např. tiskáren) a jejich chování v terminálovém režimu.</w:t>
      </w:r>
    </w:p>
    <w:p w14:paraId="1DC63A21" w14:textId="4CEC3C01" w:rsidR="00C33030" w:rsidRDefault="00C33030" w:rsidP="00C33030">
      <w:pPr>
        <w:pStyle w:val="Odstavecseseznamem"/>
        <w:numPr>
          <w:ilvl w:val="0"/>
          <w:numId w:val="32"/>
        </w:numPr>
      </w:pPr>
      <w:r>
        <w:t>Instalace a konfigurace standardních aplikací a běžných nástrojů.</w:t>
      </w:r>
    </w:p>
    <w:p w14:paraId="12EA8ED2" w14:textId="77777777" w:rsidR="00C33030" w:rsidRDefault="00C33030" w:rsidP="00C33030">
      <w:pPr>
        <w:pStyle w:val="Odstavecseseznamem"/>
        <w:numPr>
          <w:ilvl w:val="0"/>
          <w:numId w:val="32"/>
        </w:numPr>
      </w:pPr>
      <w:r>
        <w:t>Vyhodnocení testů a identifikace případných potřeb úprav.</w:t>
      </w:r>
    </w:p>
    <w:p w14:paraId="02CA8905" w14:textId="77777777" w:rsidR="00C33030" w:rsidRDefault="00C33030" w:rsidP="00C33030">
      <w:pPr>
        <w:pStyle w:val="Odstavecseseznamem"/>
        <w:numPr>
          <w:ilvl w:val="0"/>
          <w:numId w:val="32"/>
        </w:numPr>
      </w:pPr>
      <w:r>
        <w:t>Upřesnění technického návrhu dle výsledků testování.</w:t>
      </w:r>
    </w:p>
    <w:p w14:paraId="5F5C6E38" w14:textId="77777777" w:rsidR="00C33030" w:rsidRDefault="00C33030" w:rsidP="00C33030">
      <w:pPr>
        <w:pStyle w:val="Odstavecseseznamem"/>
        <w:numPr>
          <w:ilvl w:val="0"/>
          <w:numId w:val="32"/>
        </w:numPr>
      </w:pPr>
      <w:r>
        <w:t>Nasazení do ověřovacího provozu pro určenou testovací skupinu uživatelů.</w:t>
      </w:r>
    </w:p>
    <w:p w14:paraId="482F3C17" w14:textId="77777777" w:rsidR="00C33030" w:rsidRDefault="00C33030" w:rsidP="00C33030">
      <w:pPr>
        <w:pStyle w:val="Odstavecseseznamem"/>
        <w:numPr>
          <w:ilvl w:val="0"/>
          <w:numId w:val="32"/>
        </w:numPr>
      </w:pPr>
      <w:r>
        <w:t>Zpracování dokumentace skutečného provedení řešení.</w:t>
      </w:r>
    </w:p>
    <w:p w14:paraId="2C61FF90" w14:textId="77777777" w:rsidR="00C33030" w:rsidRDefault="00C33030" w:rsidP="00C33030">
      <w:pPr>
        <w:pStyle w:val="Odstavecseseznamem"/>
        <w:numPr>
          <w:ilvl w:val="0"/>
          <w:numId w:val="32"/>
        </w:numPr>
      </w:pPr>
      <w:r>
        <w:t>Zaškolení správců a technické obsluhy systému.</w:t>
      </w:r>
    </w:p>
    <w:p w14:paraId="0103D18F" w14:textId="77777777" w:rsidR="00C33030" w:rsidRDefault="00C33030" w:rsidP="00C33030">
      <w:r>
        <w:t>Uživatelům bude zpřístupněn webový aplikační portál s možností přístupu k publikovaným aplikacím i kompletním vzdáleným desktopům. Přístupová práva a rozsah oprávnění budou řízena prostřednictvím skupin v Active Directory.</w:t>
      </w:r>
    </w:p>
    <w:p w14:paraId="3CDCE938" w14:textId="6FA00C88" w:rsidR="00C33030" w:rsidRDefault="00C33030" w:rsidP="00C33030">
      <w:r>
        <w:t>V rámci AD bude vytvořena speciální organizační jednotka (OU) se sadou skupinových politik (GPO), které zajistí transformaci klasických PC do role tenkých klientů. Tato zařízení budou mít uzamčený operační systém a budou sloužit výhradně pro připojení k terminálové infrastruktuře. Tím se prodlouží jejich životní cyklus a výrazně sníží nároky na jejich správu.</w:t>
      </w:r>
    </w:p>
    <w:p w14:paraId="602D9A76" w14:textId="0541473F" w:rsidR="003705F3" w:rsidRDefault="003705F3" w:rsidP="00C33030">
      <w:r>
        <w:t>Nabízené licence musí splňovat požadavky:</w:t>
      </w:r>
    </w:p>
    <w:p w14:paraId="07320890" w14:textId="6372B9F6" w:rsidR="003705F3" w:rsidRDefault="003705F3" w:rsidP="003705F3">
      <w:pPr>
        <w:pStyle w:val="Odstavecseseznamem"/>
        <w:numPr>
          <w:ilvl w:val="0"/>
          <w:numId w:val="36"/>
        </w:numPr>
      </w:pPr>
      <w:r>
        <w:t>Kompatibilita s Windows Server 2022 Datacenter nebo kompatibilita s Windows Server 2025 Datacenter s možností downgrade.</w:t>
      </w:r>
    </w:p>
    <w:p w14:paraId="618B0FBC" w14:textId="73D753D6" w:rsidR="003705F3" w:rsidRDefault="003705F3" w:rsidP="003705F3">
      <w:pPr>
        <w:pStyle w:val="Odstavecseseznamem"/>
        <w:numPr>
          <w:ilvl w:val="0"/>
          <w:numId w:val="36"/>
        </w:numPr>
      </w:pPr>
      <w:r>
        <w:t>Licence může být i druhotná, musí ale splňovat podmínky pro legální převod vlastnictví:</w:t>
      </w:r>
    </w:p>
    <w:p w14:paraId="0467ADEC" w14:textId="72DBDE2D" w:rsidR="003705F3" w:rsidRDefault="003705F3" w:rsidP="003705F3">
      <w:pPr>
        <w:pStyle w:val="Odstavecseseznamem"/>
        <w:numPr>
          <w:ilvl w:val="1"/>
          <w:numId w:val="36"/>
        </w:numPr>
      </w:pPr>
      <w:r>
        <w:t>První země použití byla v rámci EU/EHP nebo Švýcarsko.</w:t>
      </w:r>
    </w:p>
    <w:p w14:paraId="032045F0" w14:textId="6EC9590A" w:rsidR="003705F3" w:rsidRDefault="003705F3" w:rsidP="003705F3">
      <w:pPr>
        <w:pStyle w:val="Odstavecseseznamem"/>
        <w:numPr>
          <w:ilvl w:val="1"/>
          <w:numId w:val="36"/>
        </w:numPr>
      </w:pPr>
      <w:r>
        <w:t>Produkt byl plně uhrazen vlastníkovi autorských práv.</w:t>
      </w:r>
    </w:p>
    <w:p w14:paraId="3B78A2A6" w14:textId="782CEE92" w:rsidR="003705F3" w:rsidRDefault="003705F3" w:rsidP="003705F3">
      <w:pPr>
        <w:pStyle w:val="Odstavecseseznamem"/>
        <w:numPr>
          <w:ilvl w:val="1"/>
          <w:numId w:val="36"/>
        </w:numPr>
      </w:pPr>
      <w:r>
        <w:t>Produkt je trvalý a jeho použití není časově omezeno.</w:t>
      </w:r>
    </w:p>
    <w:p w14:paraId="1B319FE1" w14:textId="64A1B250" w:rsidR="003705F3" w:rsidRDefault="003705F3" w:rsidP="003705F3">
      <w:pPr>
        <w:pStyle w:val="Odstavecseseznamem"/>
        <w:numPr>
          <w:ilvl w:val="1"/>
          <w:numId w:val="36"/>
        </w:numPr>
      </w:pPr>
      <w:r>
        <w:t>Produkt již není používán jiným majitelem.</w:t>
      </w:r>
    </w:p>
    <w:p w14:paraId="573AAE5A" w14:textId="44DEF14F" w:rsidR="003705F3" w:rsidRDefault="003705F3" w:rsidP="003705F3">
      <w:pPr>
        <w:pStyle w:val="Odstavecseseznamem"/>
        <w:numPr>
          <w:ilvl w:val="1"/>
          <w:numId w:val="36"/>
        </w:numPr>
      </w:pPr>
      <w:r>
        <w:t xml:space="preserve">Součástí těchto nabízených licencí musí být </w:t>
      </w:r>
      <w:r w:rsidR="00250E68">
        <w:t>dodání</w:t>
      </w:r>
      <w:r>
        <w:t xml:space="preserve"> dokumentace</w:t>
      </w:r>
      <w:r w:rsidR="00250E68">
        <w:t xml:space="preserve"> o legálnosti</w:t>
      </w:r>
      <w:r>
        <w:t xml:space="preserve"> v souladu s výše uvedenými podmínkami, s právními předpisy EU a ČR.</w:t>
      </w:r>
    </w:p>
    <w:p w14:paraId="4C685731" w14:textId="501703CD" w:rsidR="003705F3" w:rsidRDefault="003705F3" w:rsidP="003705F3">
      <w:pPr>
        <w:pStyle w:val="Odstavecseseznamem"/>
        <w:numPr>
          <w:ilvl w:val="0"/>
          <w:numId w:val="36"/>
        </w:numPr>
      </w:pPr>
      <w:r>
        <w:t>Licence musí být trvalá (perpetual).</w:t>
      </w:r>
    </w:p>
    <w:p w14:paraId="2155974A" w14:textId="117D97E2" w:rsidR="00C137CC" w:rsidRPr="003B759C" w:rsidRDefault="003705F3" w:rsidP="00697DCA">
      <w:pPr>
        <w:pStyle w:val="Odstavecseseznamem"/>
        <w:keepNext/>
        <w:keepLines/>
        <w:numPr>
          <w:ilvl w:val="0"/>
          <w:numId w:val="36"/>
        </w:numPr>
        <w:spacing w:before="40" w:after="0"/>
        <w:outlineLvl w:val="1"/>
        <w:rPr>
          <w:rFonts w:ascii="Arial" w:hAnsi="Arial" w:cs="Arial"/>
        </w:rPr>
      </w:pPr>
      <w:r>
        <w:t>Licence musí být na uživatele (user).</w:t>
      </w:r>
    </w:p>
    <w:p w14:paraId="067B1451" w14:textId="51E34622" w:rsidR="003B759C" w:rsidRDefault="006D3EC1" w:rsidP="003B759C">
      <w:pPr>
        <w:pStyle w:val="Nadpis2"/>
      </w:pPr>
      <w:r>
        <w:t>Vícefaktorové řešení</w:t>
      </w:r>
    </w:p>
    <w:p w14:paraId="6B2F0343" w14:textId="24A99604" w:rsidR="006D3EC1" w:rsidRDefault="006D3EC1" w:rsidP="006D3EC1">
      <w:r w:rsidRPr="006D3EC1">
        <w:t xml:space="preserve">Řešení musí být univerzální, modulární a škálovatelné, s možností jednoduchého rozšíření přidáváním </w:t>
      </w:r>
      <w:r>
        <w:t>uživatelů</w:t>
      </w:r>
      <w:r w:rsidRPr="006D3EC1">
        <w:t xml:space="preserve"> bez nutnosti zásahu do architektury nebo redesignu systému.</w:t>
      </w:r>
    </w:p>
    <w:p w14:paraId="17C684B8" w14:textId="787579A6" w:rsidR="007D56EE" w:rsidRDefault="007D56EE" w:rsidP="007D56EE">
      <w:r>
        <w:t>Implementace vícefaktorového řešení bude minimálně v tomto rozsahu:</w:t>
      </w:r>
    </w:p>
    <w:p w14:paraId="35DE57B1" w14:textId="4610029A" w:rsidR="007D56EE" w:rsidRDefault="007D56EE" w:rsidP="007D56EE">
      <w:pPr>
        <w:pStyle w:val="Odstavecseseznamem"/>
        <w:numPr>
          <w:ilvl w:val="0"/>
          <w:numId w:val="32"/>
        </w:numPr>
      </w:pPr>
      <w:r>
        <w:t>Příprava prostředí pro 70 uživatelů.</w:t>
      </w:r>
    </w:p>
    <w:p w14:paraId="2DD6FAC4" w14:textId="0DF9DFEB" w:rsidR="007D56EE" w:rsidRDefault="007D56EE" w:rsidP="007D56EE">
      <w:pPr>
        <w:pStyle w:val="Odstavecseseznamem"/>
        <w:numPr>
          <w:ilvl w:val="0"/>
          <w:numId w:val="32"/>
        </w:numPr>
      </w:pPr>
      <w:r>
        <w:t>Testování funkčnosti vícefaktorového ověřování v terminálovém režimu.</w:t>
      </w:r>
    </w:p>
    <w:p w14:paraId="77853EAF" w14:textId="77777777" w:rsidR="007D56EE" w:rsidRDefault="007D56EE" w:rsidP="007D56EE">
      <w:pPr>
        <w:pStyle w:val="Odstavecseseznamem"/>
        <w:numPr>
          <w:ilvl w:val="0"/>
          <w:numId w:val="32"/>
        </w:numPr>
      </w:pPr>
      <w:r>
        <w:t>Vyhodnocení testů a identifikace případných potřeb úprav.</w:t>
      </w:r>
    </w:p>
    <w:p w14:paraId="4DC2B24A" w14:textId="77777777" w:rsidR="007D56EE" w:rsidRDefault="007D56EE" w:rsidP="007D56EE">
      <w:pPr>
        <w:pStyle w:val="Odstavecseseznamem"/>
        <w:numPr>
          <w:ilvl w:val="0"/>
          <w:numId w:val="32"/>
        </w:numPr>
      </w:pPr>
      <w:r>
        <w:t>Upřesnění technického návrhu dle výsledků testování.</w:t>
      </w:r>
    </w:p>
    <w:p w14:paraId="413E9E52" w14:textId="77777777" w:rsidR="007D56EE" w:rsidRDefault="007D56EE" w:rsidP="007D56EE">
      <w:pPr>
        <w:pStyle w:val="Odstavecseseznamem"/>
        <w:numPr>
          <w:ilvl w:val="0"/>
          <w:numId w:val="32"/>
        </w:numPr>
      </w:pPr>
      <w:r>
        <w:t>Nasazení do ověřovacího provozu pro určenou testovací skupinu uživatelů.</w:t>
      </w:r>
    </w:p>
    <w:p w14:paraId="1A4C76AD" w14:textId="77777777" w:rsidR="007D56EE" w:rsidRDefault="007D56EE" w:rsidP="007D56EE">
      <w:pPr>
        <w:pStyle w:val="Odstavecseseznamem"/>
        <w:numPr>
          <w:ilvl w:val="0"/>
          <w:numId w:val="32"/>
        </w:numPr>
      </w:pPr>
      <w:r>
        <w:t>Zpracování dokumentace skutečného provedení řešení.</w:t>
      </w:r>
    </w:p>
    <w:p w14:paraId="027177E2" w14:textId="77777777" w:rsidR="007D56EE" w:rsidRDefault="007D56EE" w:rsidP="007D56EE">
      <w:pPr>
        <w:pStyle w:val="Odstavecseseznamem"/>
        <w:numPr>
          <w:ilvl w:val="0"/>
          <w:numId w:val="32"/>
        </w:numPr>
      </w:pPr>
      <w:r>
        <w:t>Zaškolení správců a technické obsluhy systému.</w:t>
      </w:r>
    </w:p>
    <w:p w14:paraId="6B6D6A7B" w14:textId="21440234" w:rsidR="006D3EC1" w:rsidRDefault="006D3EC1" w:rsidP="006D3EC1">
      <w:r>
        <w:t xml:space="preserve">Implementované vícefaktorové řešení bude splňovat </w:t>
      </w:r>
      <w:r w:rsidR="007D56EE">
        <w:t xml:space="preserve">technické </w:t>
      </w:r>
      <w:r>
        <w:t>požadavky minimálně v tomto rozsahu:</w:t>
      </w:r>
    </w:p>
    <w:p w14:paraId="5F3FC0E6" w14:textId="04BD5539" w:rsidR="006D3EC1" w:rsidRDefault="006D3EC1" w:rsidP="003B6D16">
      <w:pPr>
        <w:pStyle w:val="Odstavecseseznamem"/>
        <w:numPr>
          <w:ilvl w:val="0"/>
          <w:numId w:val="38"/>
        </w:numPr>
      </w:pPr>
      <w:r>
        <w:t>Řešení je připraveno pro použití jako cloudová služba, ale i s možností ostrovního režimu (v případě nedostupnosti cloudové služby z on-prem prostředí musí řešení poskytnout záložní off-line variantu autentizace pomocí jednorázového časového autentizačního kódu, který uživatel vygeneruje v mobilní aplikaci).</w:t>
      </w:r>
    </w:p>
    <w:p w14:paraId="76D6AF98" w14:textId="6BF74000" w:rsidR="006D3EC1" w:rsidRDefault="006D3EC1" w:rsidP="006D3EC1">
      <w:pPr>
        <w:pStyle w:val="Odstavecseseznamem"/>
        <w:numPr>
          <w:ilvl w:val="0"/>
          <w:numId w:val="38"/>
        </w:numPr>
      </w:pPr>
      <w:r>
        <w:lastRenderedPageBreak/>
        <w:t>Řešení umožňuje stažení autentizační aplikace z Google Play a Apple Store.</w:t>
      </w:r>
    </w:p>
    <w:p w14:paraId="44D3FF12" w14:textId="7D7E47FE" w:rsidR="006D3EC1" w:rsidRDefault="006D3EC1" w:rsidP="006D3EC1">
      <w:pPr>
        <w:pStyle w:val="Odstavecseseznamem"/>
        <w:numPr>
          <w:ilvl w:val="0"/>
          <w:numId w:val="38"/>
        </w:numPr>
      </w:pPr>
      <w:r>
        <w:t>Řešení podporuje ověření metodou QR kódu bez nutnosti zadávat uživatelské jméno, a to i pokud je zařízení off-line.</w:t>
      </w:r>
    </w:p>
    <w:p w14:paraId="4CDD9165" w14:textId="219FBB85" w:rsidR="006D3EC1" w:rsidRDefault="006D3EC1" w:rsidP="006D3EC1">
      <w:pPr>
        <w:pStyle w:val="Odstavecseseznamem"/>
        <w:numPr>
          <w:ilvl w:val="0"/>
          <w:numId w:val="38"/>
        </w:numPr>
      </w:pPr>
      <w:r>
        <w:t>Řešení funguje v těchto scénářích vícefaktorové autentizace:</w:t>
      </w:r>
    </w:p>
    <w:p w14:paraId="2A6C7EFE" w14:textId="2C5DD4F4" w:rsidR="006D3EC1" w:rsidRDefault="006D3EC1" w:rsidP="006D3EC1">
      <w:pPr>
        <w:pStyle w:val="Odstavecseseznamem"/>
        <w:numPr>
          <w:ilvl w:val="1"/>
          <w:numId w:val="38"/>
        </w:numPr>
      </w:pPr>
      <w:r>
        <w:t>do OS MS Windows,</w:t>
      </w:r>
    </w:p>
    <w:p w14:paraId="17F95D71" w14:textId="555A4C4C" w:rsidR="006D3EC1" w:rsidRDefault="006D3EC1" w:rsidP="006D3EC1">
      <w:pPr>
        <w:pStyle w:val="Odstavecseseznamem"/>
        <w:numPr>
          <w:ilvl w:val="1"/>
          <w:numId w:val="38"/>
        </w:numPr>
      </w:pPr>
      <w:r>
        <w:t>do aplikací s RADIUS protokolem,</w:t>
      </w:r>
    </w:p>
    <w:p w14:paraId="6E521E91" w14:textId="462B0417" w:rsidR="006D3EC1" w:rsidRDefault="006D3EC1" w:rsidP="006D3EC1">
      <w:pPr>
        <w:pStyle w:val="Odstavecseseznamem"/>
        <w:numPr>
          <w:ilvl w:val="1"/>
          <w:numId w:val="38"/>
        </w:numPr>
      </w:pPr>
      <w:r>
        <w:t>do RDS Gateway.</w:t>
      </w:r>
    </w:p>
    <w:p w14:paraId="31FF0475" w14:textId="06C4D3B2" w:rsidR="006D3EC1" w:rsidRDefault="006D3EC1" w:rsidP="006D3EC1">
      <w:pPr>
        <w:pStyle w:val="Odstavecseseznamem"/>
        <w:numPr>
          <w:ilvl w:val="0"/>
          <w:numId w:val="38"/>
        </w:numPr>
      </w:pPr>
      <w:r>
        <w:t>Metody autentizačního serveru a mobilní aplikace musí být:</w:t>
      </w:r>
    </w:p>
    <w:p w14:paraId="604C7217" w14:textId="5B0BFC02" w:rsidR="006D3EC1" w:rsidRDefault="006D3EC1" w:rsidP="006D3EC1">
      <w:pPr>
        <w:pStyle w:val="Odstavecseseznamem"/>
        <w:numPr>
          <w:ilvl w:val="1"/>
          <w:numId w:val="38"/>
        </w:numPr>
      </w:pPr>
      <w:r>
        <w:t>Push notifikace,</w:t>
      </w:r>
    </w:p>
    <w:p w14:paraId="3D7225CB" w14:textId="1AE996F2" w:rsidR="006D3EC1" w:rsidRDefault="006D3EC1" w:rsidP="006D3EC1">
      <w:pPr>
        <w:pStyle w:val="Odstavecseseznamem"/>
        <w:numPr>
          <w:ilvl w:val="1"/>
          <w:numId w:val="38"/>
        </w:numPr>
      </w:pPr>
      <w:r>
        <w:t>OTP heslo.</w:t>
      </w:r>
    </w:p>
    <w:p w14:paraId="1C3D3AD2" w14:textId="2F50AE05" w:rsidR="00913ACC" w:rsidRDefault="00913ACC" w:rsidP="00913ACC">
      <w:pPr>
        <w:pStyle w:val="Odstavecseseznamem"/>
        <w:numPr>
          <w:ilvl w:val="0"/>
          <w:numId w:val="38"/>
        </w:numPr>
      </w:pPr>
      <w:r w:rsidRPr="00913ACC">
        <w:t>Řešení obsahuje uživatelský portál pro aktivaci a správu autentizační metody pomocí mobilní</w:t>
      </w:r>
      <w:r>
        <w:t xml:space="preserve"> aplikace.</w:t>
      </w:r>
      <w:r w:rsidRPr="00913ACC">
        <w:t xml:space="preserve">  Portál poskytuje možnosti prohledávání uživatelů a zobrazení jejich detailu. Detail uživatele obsahuje informace o stavu mobilní autentizační metody a zobrazení historie autentizačních požadavků.</w:t>
      </w:r>
      <w:r>
        <w:t xml:space="preserve"> Onboarding uživatele bez nutnosti interakce s administrátorem.</w:t>
      </w:r>
    </w:p>
    <w:p w14:paraId="7934D47D" w14:textId="7BBE25F8" w:rsidR="00913ACC" w:rsidRDefault="00913ACC" w:rsidP="00913ACC">
      <w:pPr>
        <w:pStyle w:val="Odstavecseseznamem"/>
        <w:numPr>
          <w:ilvl w:val="0"/>
          <w:numId w:val="38"/>
        </w:numPr>
      </w:pPr>
      <w:r>
        <w:t>Faktory ověření v mobilní aplikaci musí být:</w:t>
      </w:r>
    </w:p>
    <w:p w14:paraId="13F87B0C" w14:textId="00004C32" w:rsidR="00913ACC" w:rsidRDefault="00913ACC" w:rsidP="00913ACC">
      <w:pPr>
        <w:pStyle w:val="Odstavecseseznamem"/>
        <w:numPr>
          <w:ilvl w:val="1"/>
          <w:numId w:val="38"/>
        </w:numPr>
      </w:pPr>
      <w:r>
        <w:t>Biometrika při autentizaci,</w:t>
      </w:r>
    </w:p>
    <w:p w14:paraId="5F29C674" w14:textId="6AB5CCA7" w:rsidR="00913ACC" w:rsidRDefault="00913ACC" w:rsidP="00913ACC">
      <w:pPr>
        <w:pStyle w:val="Odstavecseseznamem"/>
        <w:numPr>
          <w:ilvl w:val="1"/>
          <w:numId w:val="38"/>
        </w:numPr>
      </w:pPr>
      <w:r>
        <w:t>6 místné PIN.</w:t>
      </w:r>
    </w:p>
    <w:p w14:paraId="4D1CA625" w14:textId="0425588A" w:rsidR="00913ACC" w:rsidRDefault="00913ACC" w:rsidP="00913ACC">
      <w:pPr>
        <w:pStyle w:val="Odstavecseseznamem"/>
        <w:numPr>
          <w:ilvl w:val="0"/>
          <w:numId w:val="38"/>
        </w:numPr>
      </w:pPr>
      <w:r>
        <w:t>Řešení musí podporovat identity z Entra ID a zároveň z on-prem Active Directory.</w:t>
      </w:r>
    </w:p>
    <w:p w14:paraId="677895E2" w14:textId="42E82328" w:rsidR="00913ACC" w:rsidRDefault="00913ACC" w:rsidP="00913ACC">
      <w:pPr>
        <w:pStyle w:val="Odstavecseseznamem"/>
        <w:numPr>
          <w:ilvl w:val="0"/>
          <w:numId w:val="38"/>
        </w:numPr>
      </w:pPr>
      <w:r>
        <w:t>Mobilní aplikace musí obsahovat ochranu pomocí RASP technologie a zabezpečit detekci:</w:t>
      </w:r>
    </w:p>
    <w:p w14:paraId="421B7855" w14:textId="3B0FB5FC" w:rsidR="00913ACC" w:rsidRDefault="00913ACC" w:rsidP="00913ACC">
      <w:pPr>
        <w:pStyle w:val="Odstavecseseznamem"/>
        <w:numPr>
          <w:ilvl w:val="1"/>
          <w:numId w:val="38"/>
        </w:numPr>
      </w:pPr>
      <w:r>
        <w:t>instalace aplikace z nedůvěryhodného zdroje,</w:t>
      </w:r>
    </w:p>
    <w:p w14:paraId="59CD9A50" w14:textId="7F140384" w:rsidR="00913ACC" w:rsidRDefault="00913ACC" w:rsidP="00913ACC">
      <w:pPr>
        <w:pStyle w:val="Odstavecseseznamem"/>
        <w:numPr>
          <w:ilvl w:val="1"/>
          <w:numId w:val="38"/>
        </w:numPr>
      </w:pPr>
      <w:r>
        <w:t>přebalení aplikace,</w:t>
      </w:r>
    </w:p>
    <w:p w14:paraId="17022B3B" w14:textId="1DACF273" w:rsidR="00913ACC" w:rsidRDefault="00913ACC" w:rsidP="00913ACC">
      <w:pPr>
        <w:pStyle w:val="Odstavecseseznamem"/>
        <w:numPr>
          <w:ilvl w:val="1"/>
          <w:numId w:val="38"/>
        </w:numPr>
      </w:pPr>
      <w:r>
        <w:t>root/jailbreak OS,</w:t>
      </w:r>
    </w:p>
    <w:p w14:paraId="3F6EBA29" w14:textId="7356DC94" w:rsidR="00913ACC" w:rsidRDefault="00913ACC" w:rsidP="00913ACC">
      <w:pPr>
        <w:pStyle w:val="Odstavecseseznamem"/>
        <w:numPr>
          <w:ilvl w:val="1"/>
          <w:numId w:val="38"/>
        </w:numPr>
      </w:pPr>
      <w:r>
        <w:t>napojení na debug nástroje,</w:t>
      </w:r>
    </w:p>
    <w:p w14:paraId="07B6C143" w14:textId="0354701F" w:rsidR="00913ACC" w:rsidRDefault="00913ACC" w:rsidP="00913ACC">
      <w:pPr>
        <w:pStyle w:val="Odstavecseseznamem"/>
        <w:numPr>
          <w:ilvl w:val="1"/>
          <w:numId w:val="38"/>
        </w:numPr>
      </w:pPr>
      <w:r>
        <w:t>nástrojů pro odposlouchávání aktivity,</w:t>
      </w:r>
    </w:p>
    <w:p w14:paraId="3CA320E4" w14:textId="0A1A0E77" w:rsidR="00913ACC" w:rsidRDefault="00913ACC" w:rsidP="00913ACC">
      <w:pPr>
        <w:pStyle w:val="Odstavecseseznamem"/>
        <w:numPr>
          <w:ilvl w:val="1"/>
          <w:numId w:val="38"/>
        </w:numPr>
      </w:pPr>
      <w:r>
        <w:t>využití zámku telefonu a jeho změny.</w:t>
      </w:r>
    </w:p>
    <w:p w14:paraId="613325E7" w14:textId="78418617" w:rsidR="007D56EE" w:rsidRDefault="007D56EE" w:rsidP="007D56EE">
      <w:r>
        <w:t>Licence nabízeného vícefaktorového řešení musí splňovat požadavky:</w:t>
      </w:r>
    </w:p>
    <w:p w14:paraId="05E35CD6" w14:textId="2C43C321" w:rsidR="007D56EE" w:rsidRDefault="007D56EE" w:rsidP="007D56EE">
      <w:pPr>
        <w:pStyle w:val="Odstavecseseznamem"/>
        <w:numPr>
          <w:ilvl w:val="0"/>
          <w:numId w:val="38"/>
        </w:numPr>
      </w:pPr>
      <w:r>
        <w:t>Kompatibilita s Windows Server 2022 Datacenter.</w:t>
      </w:r>
    </w:p>
    <w:p w14:paraId="7E6D375C" w14:textId="77777777" w:rsidR="007D56EE" w:rsidRDefault="007D56EE" w:rsidP="007D56EE">
      <w:pPr>
        <w:pStyle w:val="Odstavecseseznamem"/>
        <w:numPr>
          <w:ilvl w:val="0"/>
          <w:numId w:val="38"/>
        </w:numPr>
      </w:pPr>
      <w:r>
        <w:t>Licence může být i druhotná, musí ale splňovat podmínky pro legální převod vlastnictví:</w:t>
      </w:r>
    </w:p>
    <w:p w14:paraId="3EF1B869" w14:textId="77777777" w:rsidR="007D56EE" w:rsidRDefault="007D56EE" w:rsidP="007D56EE">
      <w:pPr>
        <w:pStyle w:val="Odstavecseseznamem"/>
        <w:numPr>
          <w:ilvl w:val="1"/>
          <w:numId w:val="38"/>
        </w:numPr>
      </w:pPr>
      <w:r>
        <w:t>První země použití byla v rámci EU/EHP nebo Švýcarsko.</w:t>
      </w:r>
    </w:p>
    <w:p w14:paraId="5A3C74E0" w14:textId="77777777" w:rsidR="007D56EE" w:rsidRDefault="007D56EE" w:rsidP="007D56EE">
      <w:pPr>
        <w:pStyle w:val="Odstavecseseznamem"/>
        <w:numPr>
          <w:ilvl w:val="1"/>
          <w:numId w:val="38"/>
        </w:numPr>
      </w:pPr>
      <w:r>
        <w:t>Produkt byl plně uhrazen vlastníkovi autorských práv.</w:t>
      </w:r>
    </w:p>
    <w:p w14:paraId="5C5CA252" w14:textId="77777777" w:rsidR="007D56EE" w:rsidRDefault="007D56EE" w:rsidP="007D56EE">
      <w:pPr>
        <w:pStyle w:val="Odstavecseseznamem"/>
        <w:numPr>
          <w:ilvl w:val="1"/>
          <w:numId w:val="38"/>
        </w:numPr>
      </w:pPr>
      <w:r>
        <w:t>Produkt je trvalý a jeho použití není časově omezeno.</w:t>
      </w:r>
    </w:p>
    <w:p w14:paraId="68CC01AC" w14:textId="77777777" w:rsidR="007D56EE" w:rsidRDefault="007D56EE" w:rsidP="007D56EE">
      <w:pPr>
        <w:pStyle w:val="Odstavecseseznamem"/>
        <w:numPr>
          <w:ilvl w:val="1"/>
          <w:numId w:val="38"/>
        </w:numPr>
      </w:pPr>
      <w:r>
        <w:t>Produkt již není používán jiným majitelem.</w:t>
      </w:r>
    </w:p>
    <w:p w14:paraId="7569142C" w14:textId="77777777" w:rsidR="007D56EE" w:rsidRDefault="007D56EE" w:rsidP="007D56EE">
      <w:pPr>
        <w:pStyle w:val="Odstavecseseznamem"/>
        <w:numPr>
          <w:ilvl w:val="1"/>
          <w:numId w:val="38"/>
        </w:numPr>
      </w:pPr>
      <w:r>
        <w:t>Součástí těchto nabízených licencí musí být dodání dokumentace o legálnosti v souladu s výše uvedenými podmínkami, s právními předpisy EU a ČR.</w:t>
      </w:r>
    </w:p>
    <w:p w14:paraId="5B37E361" w14:textId="77777777" w:rsidR="007D56EE" w:rsidRDefault="007D56EE" w:rsidP="007D56EE">
      <w:pPr>
        <w:pStyle w:val="Odstavecseseznamem"/>
        <w:numPr>
          <w:ilvl w:val="0"/>
          <w:numId w:val="38"/>
        </w:numPr>
      </w:pPr>
      <w:r>
        <w:t>Licence musí být trvalá (perpetual).</w:t>
      </w:r>
    </w:p>
    <w:p w14:paraId="0A1AE2C6" w14:textId="77777777" w:rsidR="007D56EE" w:rsidRPr="003B759C" w:rsidRDefault="007D56EE" w:rsidP="007D56EE">
      <w:pPr>
        <w:pStyle w:val="Odstavecseseznamem"/>
        <w:keepNext/>
        <w:keepLines/>
        <w:numPr>
          <w:ilvl w:val="0"/>
          <w:numId w:val="38"/>
        </w:numPr>
        <w:spacing w:before="40" w:after="0"/>
        <w:outlineLvl w:val="1"/>
        <w:rPr>
          <w:rFonts w:ascii="Arial" w:hAnsi="Arial" w:cs="Arial"/>
        </w:rPr>
      </w:pPr>
      <w:r>
        <w:t>Licence musí být na uživatele (user).</w:t>
      </w:r>
    </w:p>
    <w:p w14:paraId="25E96563" w14:textId="51F44F97" w:rsidR="007D56EE" w:rsidRDefault="007D56EE" w:rsidP="007D56EE">
      <w:pPr>
        <w:pStyle w:val="Odstavecseseznamem"/>
        <w:numPr>
          <w:ilvl w:val="0"/>
          <w:numId w:val="38"/>
        </w:numPr>
      </w:pPr>
      <w:r>
        <w:t>Licence musí být pro 70 uživatelů.</w:t>
      </w:r>
    </w:p>
    <w:p w14:paraId="27EFCF3B" w14:textId="77777777" w:rsidR="006E5154" w:rsidRDefault="006E5154" w:rsidP="00C301EB">
      <w:pPr>
        <w:pStyle w:val="Nadpis1"/>
        <w:sectPr w:rsidR="006E5154" w:rsidSect="00A93573">
          <w:headerReference w:type="default" r:id="rId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2B170132" w14:textId="2D9AC9B7" w:rsidR="00C301EB" w:rsidRDefault="00C301EB" w:rsidP="00C301EB">
      <w:pPr>
        <w:pStyle w:val="Nadpis1"/>
      </w:pPr>
      <w:r>
        <w:lastRenderedPageBreak/>
        <w:t>Nabídka uchazeče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86"/>
        <w:gridCol w:w="5013"/>
        <w:gridCol w:w="1843"/>
        <w:gridCol w:w="5350"/>
      </w:tblGrid>
      <w:tr w:rsidR="006E5154" w14:paraId="60ED84C3" w14:textId="77777777" w:rsidTr="006E5154">
        <w:tc>
          <w:tcPr>
            <w:tcW w:w="1786" w:type="dxa"/>
            <w:shd w:val="clear" w:color="auto" w:fill="B4C6E7" w:themeFill="accent1" w:themeFillTint="66"/>
            <w:vAlign w:val="center"/>
          </w:tcPr>
          <w:p w14:paraId="19858751" w14:textId="2AF94AA8" w:rsidR="006E5154" w:rsidRDefault="006E5154" w:rsidP="006E5154">
            <w:pPr>
              <w:jc w:val="center"/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Zajišťovaná oblast</w:t>
            </w:r>
          </w:p>
        </w:tc>
        <w:tc>
          <w:tcPr>
            <w:tcW w:w="5013" w:type="dxa"/>
            <w:shd w:val="clear" w:color="auto" w:fill="B4C6E7" w:themeFill="accent1" w:themeFillTint="66"/>
            <w:vAlign w:val="center"/>
          </w:tcPr>
          <w:p w14:paraId="32A4DB4F" w14:textId="4F0FE08F" w:rsidR="006E5154" w:rsidRDefault="006E5154" w:rsidP="006E5154">
            <w:pPr>
              <w:jc w:val="center"/>
            </w:pP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Funkcionalita</w:t>
            </w:r>
          </w:p>
        </w:tc>
        <w:tc>
          <w:tcPr>
            <w:tcW w:w="1843" w:type="dxa"/>
            <w:shd w:val="clear" w:color="auto" w:fill="B4C6E7" w:themeFill="accent1" w:themeFillTint="66"/>
            <w:vAlign w:val="center"/>
          </w:tcPr>
          <w:p w14:paraId="797E37F8" w14:textId="1AE3B456" w:rsidR="006E5154" w:rsidRDefault="006E5154" w:rsidP="006E5154">
            <w:pPr>
              <w:jc w:val="center"/>
            </w:pP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Účastník splňuje ANO/NE</w:t>
            </w:r>
          </w:p>
        </w:tc>
        <w:tc>
          <w:tcPr>
            <w:tcW w:w="5350" w:type="dxa"/>
            <w:shd w:val="clear" w:color="auto" w:fill="B4C6E7" w:themeFill="accent1" w:themeFillTint="66"/>
            <w:vAlign w:val="center"/>
          </w:tcPr>
          <w:p w14:paraId="7A360FDD" w14:textId="2C89FA32" w:rsidR="006E5154" w:rsidRDefault="006E5154" w:rsidP="006E5154">
            <w:pPr>
              <w:jc w:val="center"/>
            </w:pP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Detail naplnění požadavku</w:t>
            </w:r>
            <w:r w:rsidRPr="00C90E3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br/>
              <w:t>(vyplní účastník)</w:t>
            </w:r>
          </w:p>
        </w:tc>
      </w:tr>
      <w:tr w:rsidR="00C56E81" w14:paraId="33580C1F" w14:textId="77777777" w:rsidTr="006E5154">
        <w:tc>
          <w:tcPr>
            <w:tcW w:w="1786" w:type="dxa"/>
            <w:vMerge w:val="restart"/>
          </w:tcPr>
          <w:p w14:paraId="130B05DC" w14:textId="5E27DE61" w:rsidR="00C56E81" w:rsidRDefault="00C56E81" w:rsidP="00C301EB">
            <w:r>
              <w:t>Licence terminálových služeb</w:t>
            </w:r>
          </w:p>
        </w:tc>
        <w:tc>
          <w:tcPr>
            <w:tcW w:w="5013" w:type="dxa"/>
          </w:tcPr>
          <w:p w14:paraId="28EC744F" w14:textId="7D6FC707" w:rsidR="00C56E81" w:rsidRDefault="00C56E81" w:rsidP="006E5154">
            <w:r>
              <w:t>Kompatibilita s Windows Server 2022 Datacenter nebo kompatibilita s Windows Server 2025 Datacenter s možností downgrade.</w:t>
            </w:r>
          </w:p>
        </w:tc>
        <w:tc>
          <w:tcPr>
            <w:tcW w:w="1843" w:type="dxa"/>
          </w:tcPr>
          <w:p w14:paraId="1236B4B2" w14:textId="77777777" w:rsidR="00C56E81" w:rsidRDefault="00C56E81" w:rsidP="00C301EB"/>
        </w:tc>
        <w:tc>
          <w:tcPr>
            <w:tcW w:w="5350" w:type="dxa"/>
          </w:tcPr>
          <w:p w14:paraId="57BEDAC4" w14:textId="77777777" w:rsidR="00C56E81" w:rsidRDefault="00C56E81" w:rsidP="00C301EB"/>
        </w:tc>
      </w:tr>
      <w:tr w:rsidR="00C56E81" w14:paraId="5C9D9602" w14:textId="77777777" w:rsidTr="006E5154">
        <w:tc>
          <w:tcPr>
            <w:tcW w:w="1786" w:type="dxa"/>
            <w:vMerge/>
          </w:tcPr>
          <w:p w14:paraId="53D5CD8A" w14:textId="77777777" w:rsidR="00C56E81" w:rsidRDefault="00C56E81" w:rsidP="00C301EB"/>
        </w:tc>
        <w:tc>
          <w:tcPr>
            <w:tcW w:w="5013" w:type="dxa"/>
          </w:tcPr>
          <w:p w14:paraId="38364400" w14:textId="77777777" w:rsidR="00C56E81" w:rsidRDefault="00C56E81" w:rsidP="006E5154">
            <w:r>
              <w:t>Licence může být i druhotná, musí ale splňovat podmínky pro legální převod vlastnictví:</w:t>
            </w:r>
          </w:p>
          <w:p w14:paraId="14DB8500" w14:textId="77777777" w:rsidR="00C56E81" w:rsidRDefault="00C56E81" w:rsidP="006E5154">
            <w:pPr>
              <w:pStyle w:val="Odstavecseseznamem"/>
              <w:numPr>
                <w:ilvl w:val="0"/>
                <w:numId w:val="39"/>
              </w:numPr>
            </w:pPr>
            <w:r>
              <w:t>První země použití byla v rámci EU/EHP nebo Švýcarsko.</w:t>
            </w:r>
          </w:p>
          <w:p w14:paraId="448A120A" w14:textId="77777777" w:rsidR="00C56E81" w:rsidRDefault="00C56E81" w:rsidP="006E5154">
            <w:pPr>
              <w:pStyle w:val="Odstavecseseznamem"/>
              <w:numPr>
                <w:ilvl w:val="0"/>
                <w:numId w:val="39"/>
              </w:numPr>
            </w:pPr>
            <w:r>
              <w:t>Produkt byl plně uhrazen vlastníkovi autorských práv.</w:t>
            </w:r>
          </w:p>
          <w:p w14:paraId="7FE2D695" w14:textId="77777777" w:rsidR="00C56E81" w:rsidRDefault="00C56E81" w:rsidP="006E5154">
            <w:pPr>
              <w:pStyle w:val="Odstavecseseznamem"/>
              <w:numPr>
                <w:ilvl w:val="0"/>
                <w:numId w:val="39"/>
              </w:numPr>
            </w:pPr>
            <w:r>
              <w:t>Produkt je trvalý a jeho použití není časově omezeno.</w:t>
            </w:r>
          </w:p>
          <w:p w14:paraId="3C4F00E0" w14:textId="77777777" w:rsidR="00C56E81" w:rsidRDefault="00C56E81" w:rsidP="006E5154">
            <w:pPr>
              <w:pStyle w:val="Odstavecseseznamem"/>
              <w:numPr>
                <w:ilvl w:val="0"/>
                <w:numId w:val="39"/>
              </w:numPr>
            </w:pPr>
            <w:r>
              <w:t>Produkt již není používán jiným majitelem.</w:t>
            </w:r>
          </w:p>
          <w:p w14:paraId="4C3AFD86" w14:textId="32C3E0EC" w:rsidR="00C56E81" w:rsidRDefault="00C56E81" w:rsidP="006E5154">
            <w:pPr>
              <w:pStyle w:val="Odstavecseseznamem"/>
              <w:numPr>
                <w:ilvl w:val="0"/>
                <w:numId w:val="39"/>
              </w:numPr>
            </w:pPr>
            <w:r>
              <w:t>Součástí těchto nabízených licencí musí být dodání dokumentace o legálnosti v souladu s výše uvedenými podmínkami, s právními předpisy EU a ČR.</w:t>
            </w:r>
          </w:p>
        </w:tc>
        <w:tc>
          <w:tcPr>
            <w:tcW w:w="1843" w:type="dxa"/>
          </w:tcPr>
          <w:p w14:paraId="0E1CE815" w14:textId="77777777" w:rsidR="00C56E81" w:rsidRDefault="00C56E81" w:rsidP="00C301EB"/>
        </w:tc>
        <w:tc>
          <w:tcPr>
            <w:tcW w:w="5350" w:type="dxa"/>
          </w:tcPr>
          <w:p w14:paraId="06001E69" w14:textId="77777777" w:rsidR="00C56E81" w:rsidRDefault="00C56E81" w:rsidP="00C301EB"/>
        </w:tc>
      </w:tr>
      <w:tr w:rsidR="00C56E81" w14:paraId="2A610DAF" w14:textId="77777777" w:rsidTr="006E5154">
        <w:tc>
          <w:tcPr>
            <w:tcW w:w="1786" w:type="dxa"/>
            <w:vMerge/>
          </w:tcPr>
          <w:p w14:paraId="2490B1D4" w14:textId="77777777" w:rsidR="00C56E81" w:rsidRDefault="00C56E81" w:rsidP="00C301EB"/>
        </w:tc>
        <w:tc>
          <w:tcPr>
            <w:tcW w:w="5013" w:type="dxa"/>
          </w:tcPr>
          <w:p w14:paraId="5E02E975" w14:textId="23C5D13E" w:rsidR="00C56E81" w:rsidRDefault="00C56E81" w:rsidP="00C301EB">
            <w:r>
              <w:t>Licence musí být trvalá (perpetual).</w:t>
            </w:r>
          </w:p>
        </w:tc>
        <w:tc>
          <w:tcPr>
            <w:tcW w:w="1843" w:type="dxa"/>
          </w:tcPr>
          <w:p w14:paraId="30C3065F" w14:textId="77777777" w:rsidR="00C56E81" w:rsidRDefault="00C56E81" w:rsidP="00C301EB"/>
        </w:tc>
        <w:tc>
          <w:tcPr>
            <w:tcW w:w="5350" w:type="dxa"/>
          </w:tcPr>
          <w:p w14:paraId="44D82E52" w14:textId="77777777" w:rsidR="00C56E81" w:rsidRDefault="00C56E81" w:rsidP="00C301EB"/>
        </w:tc>
      </w:tr>
      <w:tr w:rsidR="00C56E81" w14:paraId="6253C89D" w14:textId="77777777" w:rsidTr="006E5154">
        <w:tc>
          <w:tcPr>
            <w:tcW w:w="1786" w:type="dxa"/>
            <w:vMerge/>
          </w:tcPr>
          <w:p w14:paraId="6856C5BE" w14:textId="77777777" w:rsidR="00C56E81" w:rsidRDefault="00C56E81" w:rsidP="00C301EB"/>
        </w:tc>
        <w:tc>
          <w:tcPr>
            <w:tcW w:w="5013" w:type="dxa"/>
          </w:tcPr>
          <w:p w14:paraId="63ECFBB0" w14:textId="7265BCFB" w:rsidR="00C56E81" w:rsidRDefault="00C56E81" w:rsidP="00C301EB">
            <w:r>
              <w:t>Licence musí být na uživatele (user).</w:t>
            </w:r>
          </w:p>
        </w:tc>
        <w:tc>
          <w:tcPr>
            <w:tcW w:w="1843" w:type="dxa"/>
          </w:tcPr>
          <w:p w14:paraId="15807DD6" w14:textId="77777777" w:rsidR="00C56E81" w:rsidRDefault="00C56E81" w:rsidP="00C301EB"/>
        </w:tc>
        <w:tc>
          <w:tcPr>
            <w:tcW w:w="5350" w:type="dxa"/>
          </w:tcPr>
          <w:p w14:paraId="7D68279F" w14:textId="77777777" w:rsidR="00C56E81" w:rsidRDefault="00C56E81" w:rsidP="00C301EB"/>
        </w:tc>
      </w:tr>
      <w:tr w:rsidR="00C659BB" w14:paraId="55B6E1AC" w14:textId="77777777" w:rsidTr="006E5154">
        <w:tc>
          <w:tcPr>
            <w:tcW w:w="1786" w:type="dxa"/>
            <w:vMerge/>
          </w:tcPr>
          <w:p w14:paraId="66A22136" w14:textId="77777777" w:rsidR="00C659BB" w:rsidRDefault="00C659BB" w:rsidP="00C301EB"/>
        </w:tc>
        <w:tc>
          <w:tcPr>
            <w:tcW w:w="5013" w:type="dxa"/>
          </w:tcPr>
          <w:p w14:paraId="74E10E39" w14:textId="7E4F215F" w:rsidR="00C659BB" w:rsidRDefault="00C659BB" w:rsidP="00C301EB">
            <w:r>
              <w:t>Licence musí být pro 70 uživatelů.</w:t>
            </w:r>
          </w:p>
        </w:tc>
        <w:tc>
          <w:tcPr>
            <w:tcW w:w="1843" w:type="dxa"/>
          </w:tcPr>
          <w:p w14:paraId="78EB9957" w14:textId="77777777" w:rsidR="00C659BB" w:rsidRDefault="00C659BB" w:rsidP="00C301EB"/>
        </w:tc>
        <w:tc>
          <w:tcPr>
            <w:tcW w:w="5350" w:type="dxa"/>
          </w:tcPr>
          <w:p w14:paraId="01668988" w14:textId="77777777" w:rsidR="00C659BB" w:rsidRDefault="00C659BB" w:rsidP="00C301EB"/>
        </w:tc>
      </w:tr>
      <w:tr w:rsidR="00C56E81" w14:paraId="234197E5" w14:textId="77777777" w:rsidTr="006E5154">
        <w:tc>
          <w:tcPr>
            <w:tcW w:w="1786" w:type="dxa"/>
            <w:vMerge/>
          </w:tcPr>
          <w:p w14:paraId="43441098" w14:textId="77777777" w:rsidR="00C56E81" w:rsidRDefault="00C56E81" w:rsidP="00C301EB"/>
        </w:tc>
        <w:tc>
          <w:tcPr>
            <w:tcW w:w="5013" w:type="dxa"/>
          </w:tcPr>
          <w:p w14:paraId="186F3533" w14:textId="77777777" w:rsidR="00C56E81" w:rsidRDefault="00C56E81" w:rsidP="00C301EB">
            <w:r>
              <w:t>Implementace v minimálním rozsahu:</w:t>
            </w:r>
          </w:p>
          <w:p w14:paraId="7D58A0F1" w14:textId="77777777" w:rsidR="00C56E81" w:rsidRDefault="00C56E81" w:rsidP="00D6118C">
            <w:pPr>
              <w:pStyle w:val="Odstavecseseznamem"/>
              <w:numPr>
                <w:ilvl w:val="0"/>
                <w:numId w:val="32"/>
              </w:numPr>
            </w:pPr>
            <w:r>
              <w:t>Příprava prostředí pro 70 uživatelských relací.</w:t>
            </w:r>
          </w:p>
          <w:p w14:paraId="4C233F53" w14:textId="77777777" w:rsidR="00C56E81" w:rsidRDefault="00C56E81" w:rsidP="00D6118C">
            <w:pPr>
              <w:pStyle w:val="Odstavecseseznamem"/>
              <w:numPr>
                <w:ilvl w:val="0"/>
                <w:numId w:val="32"/>
              </w:numPr>
            </w:pPr>
            <w:r>
              <w:t>Testování funkčnosti aplikací, periferních zařízení (např. tiskáren) a jejich chování v terminálovém režimu.</w:t>
            </w:r>
          </w:p>
          <w:p w14:paraId="7F414411" w14:textId="77777777" w:rsidR="00C56E81" w:rsidRDefault="00C56E81" w:rsidP="00D6118C">
            <w:pPr>
              <w:pStyle w:val="Odstavecseseznamem"/>
              <w:numPr>
                <w:ilvl w:val="0"/>
                <w:numId w:val="32"/>
              </w:numPr>
            </w:pPr>
            <w:r>
              <w:lastRenderedPageBreak/>
              <w:t>Instalace a konfigurace standardních aplikací a běžných nástrojů.</w:t>
            </w:r>
          </w:p>
          <w:p w14:paraId="05DD361E" w14:textId="77777777" w:rsidR="00C56E81" w:rsidRDefault="00C56E81" w:rsidP="00D6118C">
            <w:pPr>
              <w:pStyle w:val="Odstavecseseznamem"/>
              <w:numPr>
                <w:ilvl w:val="0"/>
                <w:numId w:val="32"/>
              </w:numPr>
            </w:pPr>
            <w:r>
              <w:t>Vyhodnocení testů a identifikace případných potřeb úprav.</w:t>
            </w:r>
          </w:p>
          <w:p w14:paraId="1271CCC8" w14:textId="77777777" w:rsidR="00C56E81" w:rsidRDefault="00C56E81" w:rsidP="00D6118C">
            <w:pPr>
              <w:pStyle w:val="Odstavecseseznamem"/>
              <w:numPr>
                <w:ilvl w:val="0"/>
                <w:numId w:val="32"/>
              </w:numPr>
            </w:pPr>
            <w:r>
              <w:t>Upřesnění technického návrhu dle výsledků testování.</w:t>
            </w:r>
          </w:p>
          <w:p w14:paraId="32C9CAC1" w14:textId="77777777" w:rsidR="00C56E81" w:rsidRDefault="00C56E81" w:rsidP="00D6118C">
            <w:pPr>
              <w:pStyle w:val="Odstavecseseznamem"/>
              <w:numPr>
                <w:ilvl w:val="0"/>
                <w:numId w:val="32"/>
              </w:numPr>
            </w:pPr>
            <w:r>
              <w:t>Nasazení do ověřovacího provozu pro určenou testovací skupinu uživatelů.</w:t>
            </w:r>
          </w:p>
          <w:p w14:paraId="02742D80" w14:textId="77777777" w:rsidR="00C56E81" w:rsidRDefault="00C56E81" w:rsidP="00D6118C">
            <w:pPr>
              <w:pStyle w:val="Odstavecseseznamem"/>
              <w:numPr>
                <w:ilvl w:val="0"/>
                <w:numId w:val="32"/>
              </w:numPr>
            </w:pPr>
            <w:r>
              <w:t>Zpracování dokumentace skutečného provedení řešení.</w:t>
            </w:r>
          </w:p>
          <w:p w14:paraId="0ADF01D7" w14:textId="77777777" w:rsidR="00C56E81" w:rsidRDefault="00C56E81" w:rsidP="00C301EB">
            <w:pPr>
              <w:pStyle w:val="Odstavecseseznamem"/>
              <w:numPr>
                <w:ilvl w:val="0"/>
                <w:numId w:val="32"/>
              </w:numPr>
            </w:pPr>
            <w:r>
              <w:t>Zaškolení správců a technické obsluhy systému.</w:t>
            </w:r>
          </w:p>
          <w:p w14:paraId="28564776" w14:textId="77777777" w:rsidR="00C56E81" w:rsidRDefault="00C56E81" w:rsidP="00C56E81">
            <w:pPr>
              <w:pStyle w:val="Odstavecseseznamem"/>
              <w:numPr>
                <w:ilvl w:val="0"/>
                <w:numId w:val="32"/>
              </w:numPr>
            </w:pPr>
            <w:r>
              <w:t>Uživatelům bude zpřístupněn webový aplikační portál s možností přístupu k publikovaným aplikacím i kompletním vzdáleným desktopům. Přístupová práva a rozsah oprávnění budou řízena prostřednictvím skupin v Active Directory.</w:t>
            </w:r>
          </w:p>
          <w:p w14:paraId="253D5DBA" w14:textId="1AD53864" w:rsidR="00C56E81" w:rsidRDefault="00C56E81" w:rsidP="00C56E81">
            <w:pPr>
              <w:pStyle w:val="Odstavecseseznamem"/>
              <w:numPr>
                <w:ilvl w:val="0"/>
                <w:numId w:val="32"/>
              </w:numPr>
            </w:pPr>
            <w:r>
              <w:t>V rámci AD bude vytvořena speciální organizační jednotka (OU) se sadou skupinových politik (GPO), které zajistí transformaci klasických PC do role tenkých klientů. Tato zařízení budou mít uzamčený operační systém a budou sloužit výhradně pro připojení k terminálové infrastruktuře. Tím se prodlouží jejich životní cyklus a výrazně sníží nároky na jejich správu.</w:t>
            </w:r>
          </w:p>
        </w:tc>
        <w:tc>
          <w:tcPr>
            <w:tcW w:w="1843" w:type="dxa"/>
          </w:tcPr>
          <w:p w14:paraId="3E417F7D" w14:textId="77777777" w:rsidR="00C56E81" w:rsidRDefault="00C56E81" w:rsidP="00C301EB"/>
        </w:tc>
        <w:tc>
          <w:tcPr>
            <w:tcW w:w="5350" w:type="dxa"/>
          </w:tcPr>
          <w:p w14:paraId="71C4ACDB" w14:textId="77777777" w:rsidR="00C56E81" w:rsidRDefault="00C56E81" w:rsidP="00C301EB"/>
        </w:tc>
      </w:tr>
      <w:tr w:rsidR="00C659BB" w14:paraId="31DC4CAB" w14:textId="77777777" w:rsidTr="006E5154">
        <w:tc>
          <w:tcPr>
            <w:tcW w:w="1786" w:type="dxa"/>
            <w:vMerge w:val="restart"/>
          </w:tcPr>
          <w:p w14:paraId="5DE3C21E" w14:textId="3C606B99" w:rsidR="00C659BB" w:rsidRDefault="00C659BB" w:rsidP="00C301EB">
            <w:r>
              <w:t>Řešení vícefaktorového ověřování</w:t>
            </w:r>
          </w:p>
        </w:tc>
        <w:tc>
          <w:tcPr>
            <w:tcW w:w="5013" w:type="dxa"/>
          </w:tcPr>
          <w:p w14:paraId="059ADCDB" w14:textId="5F7281BA" w:rsidR="00C659BB" w:rsidRDefault="00C659BB" w:rsidP="00C301EB">
            <w:r>
              <w:t xml:space="preserve">Řešení je připraveno pro použití jako cloudová služba, ale i s možností ostrovního režimu (v případě nedostupnosti cloudové služby z on-prem prostředí musí řešení poskytnout záložní off-line variantu </w:t>
            </w:r>
            <w:r>
              <w:lastRenderedPageBreak/>
              <w:t>autentizace pomocí jednorázového časového autentizačního kódu, který uživatel vygeneruje v mobilní aplikaci).</w:t>
            </w:r>
          </w:p>
        </w:tc>
        <w:tc>
          <w:tcPr>
            <w:tcW w:w="1843" w:type="dxa"/>
          </w:tcPr>
          <w:p w14:paraId="21177CE0" w14:textId="77777777" w:rsidR="00C659BB" w:rsidRDefault="00C659BB" w:rsidP="00C301EB"/>
        </w:tc>
        <w:tc>
          <w:tcPr>
            <w:tcW w:w="5350" w:type="dxa"/>
          </w:tcPr>
          <w:p w14:paraId="1D1E6383" w14:textId="77777777" w:rsidR="00C659BB" w:rsidRDefault="00C659BB" w:rsidP="00C301EB"/>
        </w:tc>
      </w:tr>
      <w:tr w:rsidR="00C659BB" w14:paraId="5547D220" w14:textId="77777777" w:rsidTr="006E5154">
        <w:tc>
          <w:tcPr>
            <w:tcW w:w="1786" w:type="dxa"/>
            <w:vMerge/>
          </w:tcPr>
          <w:p w14:paraId="29717880" w14:textId="77777777" w:rsidR="00C659BB" w:rsidRDefault="00C659BB" w:rsidP="00C301EB"/>
        </w:tc>
        <w:tc>
          <w:tcPr>
            <w:tcW w:w="5013" w:type="dxa"/>
          </w:tcPr>
          <w:p w14:paraId="01288345" w14:textId="2C62250C" w:rsidR="00C659BB" w:rsidRDefault="00C659BB" w:rsidP="00C301EB">
            <w:r>
              <w:t>Řešení umožňuje stažení autentizační aplikace z Google Play a Apple Store.</w:t>
            </w:r>
          </w:p>
        </w:tc>
        <w:tc>
          <w:tcPr>
            <w:tcW w:w="1843" w:type="dxa"/>
          </w:tcPr>
          <w:p w14:paraId="0A40AD76" w14:textId="77777777" w:rsidR="00C659BB" w:rsidRDefault="00C659BB" w:rsidP="00C301EB"/>
        </w:tc>
        <w:tc>
          <w:tcPr>
            <w:tcW w:w="5350" w:type="dxa"/>
          </w:tcPr>
          <w:p w14:paraId="6E4B2E9B" w14:textId="77777777" w:rsidR="00C659BB" w:rsidRDefault="00C659BB" w:rsidP="00C301EB"/>
        </w:tc>
      </w:tr>
      <w:tr w:rsidR="00C659BB" w14:paraId="57BB7042" w14:textId="77777777" w:rsidTr="006E5154">
        <w:tc>
          <w:tcPr>
            <w:tcW w:w="1786" w:type="dxa"/>
            <w:vMerge/>
          </w:tcPr>
          <w:p w14:paraId="0BAAE1BD" w14:textId="77777777" w:rsidR="00C659BB" w:rsidRDefault="00C659BB" w:rsidP="00C301EB"/>
        </w:tc>
        <w:tc>
          <w:tcPr>
            <w:tcW w:w="5013" w:type="dxa"/>
          </w:tcPr>
          <w:p w14:paraId="35A2C7EF" w14:textId="53070C65" w:rsidR="00C659BB" w:rsidRDefault="00C659BB" w:rsidP="00C301EB">
            <w:r>
              <w:t>Řešení podporuje ověření metodou QR kódu bez nutnosti zadávat uživatelské jméno, a to i pokud je zařízení off-line.</w:t>
            </w:r>
          </w:p>
        </w:tc>
        <w:tc>
          <w:tcPr>
            <w:tcW w:w="1843" w:type="dxa"/>
          </w:tcPr>
          <w:p w14:paraId="40DCDF1C" w14:textId="77777777" w:rsidR="00C659BB" w:rsidRDefault="00C659BB" w:rsidP="00C301EB"/>
        </w:tc>
        <w:tc>
          <w:tcPr>
            <w:tcW w:w="5350" w:type="dxa"/>
          </w:tcPr>
          <w:p w14:paraId="7468135B" w14:textId="77777777" w:rsidR="00C659BB" w:rsidRDefault="00C659BB" w:rsidP="00C301EB"/>
        </w:tc>
      </w:tr>
      <w:tr w:rsidR="00C659BB" w14:paraId="427FC839" w14:textId="77777777" w:rsidTr="006E5154">
        <w:tc>
          <w:tcPr>
            <w:tcW w:w="1786" w:type="dxa"/>
            <w:vMerge/>
          </w:tcPr>
          <w:p w14:paraId="7BC13316" w14:textId="77777777" w:rsidR="00C659BB" w:rsidRDefault="00C659BB" w:rsidP="00C301EB"/>
        </w:tc>
        <w:tc>
          <w:tcPr>
            <w:tcW w:w="5013" w:type="dxa"/>
          </w:tcPr>
          <w:p w14:paraId="7C78EC4B" w14:textId="77777777" w:rsidR="00C659BB" w:rsidRDefault="00C659BB" w:rsidP="00C659BB">
            <w:r>
              <w:t>Řešení funguje v těchto scénářích vícefaktorové autentizace:</w:t>
            </w:r>
          </w:p>
          <w:p w14:paraId="460DE43E" w14:textId="77777777" w:rsidR="00C659BB" w:rsidRDefault="00C659BB" w:rsidP="00C659BB">
            <w:pPr>
              <w:pStyle w:val="Odstavecseseznamem"/>
              <w:numPr>
                <w:ilvl w:val="0"/>
                <w:numId w:val="38"/>
              </w:numPr>
            </w:pPr>
            <w:r>
              <w:t>do OS MS Windows,</w:t>
            </w:r>
          </w:p>
          <w:p w14:paraId="1DFA070D" w14:textId="77777777" w:rsidR="00C659BB" w:rsidRDefault="00C659BB" w:rsidP="00C659BB">
            <w:pPr>
              <w:pStyle w:val="Odstavecseseznamem"/>
              <w:numPr>
                <w:ilvl w:val="0"/>
                <w:numId w:val="38"/>
              </w:numPr>
            </w:pPr>
            <w:r>
              <w:t>do aplikací s RADIUS protokolem,</w:t>
            </w:r>
          </w:p>
          <w:p w14:paraId="3DD1C4BC" w14:textId="5F3EBF74" w:rsidR="00C659BB" w:rsidRDefault="00C659BB" w:rsidP="00C301EB">
            <w:pPr>
              <w:pStyle w:val="Odstavecseseznamem"/>
              <w:numPr>
                <w:ilvl w:val="0"/>
                <w:numId w:val="38"/>
              </w:numPr>
            </w:pPr>
            <w:r>
              <w:t>do RDS Gateway.</w:t>
            </w:r>
          </w:p>
        </w:tc>
        <w:tc>
          <w:tcPr>
            <w:tcW w:w="1843" w:type="dxa"/>
          </w:tcPr>
          <w:p w14:paraId="33752FF2" w14:textId="77777777" w:rsidR="00C659BB" w:rsidRDefault="00C659BB" w:rsidP="00C301EB"/>
        </w:tc>
        <w:tc>
          <w:tcPr>
            <w:tcW w:w="5350" w:type="dxa"/>
          </w:tcPr>
          <w:p w14:paraId="31BD33FA" w14:textId="77777777" w:rsidR="00C659BB" w:rsidRDefault="00C659BB" w:rsidP="00C301EB"/>
        </w:tc>
      </w:tr>
      <w:tr w:rsidR="00C659BB" w14:paraId="188A4123" w14:textId="77777777" w:rsidTr="006E5154">
        <w:tc>
          <w:tcPr>
            <w:tcW w:w="1786" w:type="dxa"/>
            <w:vMerge/>
          </w:tcPr>
          <w:p w14:paraId="28A1A2A7" w14:textId="77777777" w:rsidR="00C659BB" w:rsidRDefault="00C659BB" w:rsidP="00C301EB"/>
        </w:tc>
        <w:tc>
          <w:tcPr>
            <w:tcW w:w="5013" w:type="dxa"/>
          </w:tcPr>
          <w:p w14:paraId="133395CD" w14:textId="77777777" w:rsidR="00C659BB" w:rsidRDefault="00C659BB" w:rsidP="00C659BB">
            <w:r>
              <w:t>Metody autentizačního serveru a mobilní aplikace musí být:</w:t>
            </w:r>
          </w:p>
          <w:p w14:paraId="3D0696B1" w14:textId="77777777" w:rsidR="00C659BB" w:rsidRDefault="00C659BB" w:rsidP="00C659BB">
            <w:pPr>
              <w:pStyle w:val="Odstavecseseznamem"/>
              <w:numPr>
                <w:ilvl w:val="0"/>
                <w:numId w:val="38"/>
              </w:numPr>
            </w:pPr>
            <w:r>
              <w:t>Push notifikace,</w:t>
            </w:r>
          </w:p>
          <w:p w14:paraId="5BE9B4F6" w14:textId="767AC28C" w:rsidR="00C659BB" w:rsidRDefault="00C659BB" w:rsidP="00C659BB">
            <w:pPr>
              <w:pStyle w:val="Odstavecseseznamem"/>
              <w:numPr>
                <w:ilvl w:val="0"/>
                <w:numId w:val="38"/>
              </w:numPr>
            </w:pPr>
            <w:r>
              <w:t>OTP heslo.</w:t>
            </w:r>
          </w:p>
        </w:tc>
        <w:tc>
          <w:tcPr>
            <w:tcW w:w="1843" w:type="dxa"/>
          </w:tcPr>
          <w:p w14:paraId="2FD02878" w14:textId="77777777" w:rsidR="00C659BB" w:rsidRDefault="00C659BB" w:rsidP="00C301EB"/>
        </w:tc>
        <w:tc>
          <w:tcPr>
            <w:tcW w:w="5350" w:type="dxa"/>
          </w:tcPr>
          <w:p w14:paraId="5FAD5B09" w14:textId="77777777" w:rsidR="00C659BB" w:rsidRDefault="00C659BB" w:rsidP="00C301EB"/>
        </w:tc>
      </w:tr>
      <w:tr w:rsidR="00C659BB" w14:paraId="5AC67132" w14:textId="77777777" w:rsidTr="006E5154">
        <w:tc>
          <w:tcPr>
            <w:tcW w:w="1786" w:type="dxa"/>
            <w:vMerge/>
          </w:tcPr>
          <w:p w14:paraId="6857003F" w14:textId="77777777" w:rsidR="00C659BB" w:rsidRDefault="00C659BB" w:rsidP="00C301EB"/>
        </w:tc>
        <w:tc>
          <w:tcPr>
            <w:tcW w:w="5013" w:type="dxa"/>
          </w:tcPr>
          <w:p w14:paraId="6CB1683F" w14:textId="6E4A4876" w:rsidR="00C659BB" w:rsidRDefault="00C659BB" w:rsidP="00C301EB">
            <w:r w:rsidRPr="00C659BB">
              <w:t>Řešení obsahuje uživatelský portál pro aktivaci a správu autentizační metody pomocí mobilní aplikace.  Portál poskytuje možnosti prohledávání uživatelů a zobrazení jejich detailu. Detail uživatele obsahuje informace o stavu mobilní autentizační metody a zobrazení historie autentizačních požadavků. Onboarding uživatele bez nutnosti interakce s administrátorem.</w:t>
            </w:r>
          </w:p>
        </w:tc>
        <w:tc>
          <w:tcPr>
            <w:tcW w:w="1843" w:type="dxa"/>
          </w:tcPr>
          <w:p w14:paraId="6CF92049" w14:textId="77777777" w:rsidR="00C659BB" w:rsidRDefault="00C659BB" w:rsidP="00C301EB"/>
        </w:tc>
        <w:tc>
          <w:tcPr>
            <w:tcW w:w="5350" w:type="dxa"/>
          </w:tcPr>
          <w:p w14:paraId="2C5883D6" w14:textId="77777777" w:rsidR="00C659BB" w:rsidRDefault="00C659BB" w:rsidP="00C301EB"/>
        </w:tc>
      </w:tr>
      <w:tr w:rsidR="00C659BB" w14:paraId="2810DCFC" w14:textId="77777777" w:rsidTr="006E5154">
        <w:tc>
          <w:tcPr>
            <w:tcW w:w="1786" w:type="dxa"/>
            <w:vMerge/>
          </w:tcPr>
          <w:p w14:paraId="4C4C6B9D" w14:textId="77777777" w:rsidR="00C659BB" w:rsidRDefault="00C659BB" w:rsidP="00C301EB"/>
        </w:tc>
        <w:tc>
          <w:tcPr>
            <w:tcW w:w="5013" w:type="dxa"/>
          </w:tcPr>
          <w:p w14:paraId="500E538B" w14:textId="43C6316A" w:rsidR="00C659BB" w:rsidRDefault="00C659BB" w:rsidP="00C659BB">
            <w:r>
              <w:t>Faktory ověření v mobilní aplikaci musí být:</w:t>
            </w:r>
          </w:p>
          <w:p w14:paraId="50A7E3A5" w14:textId="4FAC3378" w:rsidR="00C659BB" w:rsidRDefault="00C659BB" w:rsidP="00C659BB">
            <w:pPr>
              <w:pStyle w:val="Odstavecseseznamem"/>
              <w:numPr>
                <w:ilvl w:val="0"/>
                <w:numId w:val="40"/>
              </w:numPr>
            </w:pPr>
            <w:r>
              <w:t>Biometrika při autentizaci,</w:t>
            </w:r>
          </w:p>
          <w:p w14:paraId="2AC93AB5" w14:textId="47DAC833" w:rsidR="00C659BB" w:rsidRDefault="00C659BB" w:rsidP="00C659BB">
            <w:pPr>
              <w:pStyle w:val="Odstavecseseznamem"/>
              <w:numPr>
                <w:ilvl w:val="0"/>
                <w:numId w:val="40"/>
              </w:numPr>
            </w:pPr>
            <w:r>
              <w:lastRenderedPageBreak/>
              <w:t>6 místné PIN.</w:t>
            </w:r>
          </w:p>
        </w:tc>
        <w:tc>
          <w:tcPr>
            <w:tcW w:w="1843" w:type="dxa"/>
          </w:tcPr>
          <w:p w14:paraId="04DDEEF9" w14:textId="77777777" w:rsidR="00C659BB" w:rsidRDefault="00C659BB" w:rsidP="00C301EB"/>
        </w:tc>
        <w:tc>
          <w:tcPr>
            <w:tcW w:w="5350" w:type="dxa"/>
          </w:tcPr>
          <w:p w14:paraId="5125894B" w14:textId="77777777" w:rsidR="00C659BB" w:rsidRDefault="00C659BB" w:rsidP="00C301EB"/>
        </w:tc>
      </w:tr>
      <w:tr w:rsidR="00C659BB" w14:paraId="55EC0671" w14:textId="77777777" w:rsidTr="006E5154">
        <w:tc>
          <w:tcPr>
            <w:tcW w:w="1786" w:type="dxa"/>
            <w:vMerge/>
          </w:tcPr>
          <w:p w14:paraId="6A312C6A" w14:textId="77777777" w:rsidR="00C659BB" w:rsidRDefault="00C659BB" w:rsidP="00C301EB"/>
        </w:tc>
        <w:tc>
          <w:tcPr>
            <w:tcW w:w="5013" w:type="dxa"/>
          </w:tcPr>
          <w:p w14:paraId="7B81C7A1" w14:textId="04E7D00B" w:rsidR="00C659BB" w:rsidRDefault="00C659BB" w:rsidP="00C301EB">
            <w:r w:rsidRPr="00C659BB">
              <w:t>Řešení musí podporovat identity z Entra ID a zároveň z on-prem Active Directory.</w:t>
            </w:r>
          </w:p>
        </w:tc>
        <w:tc>
          <w:tcPr>
            <w:tcW w:w="1843" w:type="dxa"/>
          </w:tcPr>
          <w:p w14:paraId="3CD4659F" w14:textId="77777777" w:rsidR="00C659BB" w:rsidRDefault="00C659BB" w:rsidP="00C301EB"/>
        </w:tc>
        <w:tc>
          <w:tcPr>
            <w:tcW w:w="5350" w:type="dxa"/>
          </w:tcPr>
          <w:p w14:paraId="3B4B6199" w14:textId="77777777" w:rsidR="00C659BB" w:rsidRDefault="00C659BB" w:rsidP="00C301EB"/>
        </w:tc>
      </w:tr>
      <w:tr w:rsidR="00C659BB" w14:paraId="7CCBE32E" w14:textId="77777777" w:rsidTr="006E5154">
        <w:tc>
          <w:tcPr>
            <w:tcW w:w="1786" w:type="dxa"/>
            <w:vMerge/>
          </w:tcPr>
          <w:p w14:paraId="04315DE4" w14:textId="77777777" w:rsidR="00C659BB" w:rsidRDefault="00C659BB" w:rsidP="00C301EB"/>
        </w:tc>
        <w:tc>
          <w:tcPr>
            <w:tcW w:w="5013" w:type="dxa"/>
          </w:tcPr>
          <w:p w14:paraId="1D4D4288" w14:textId="77777777" w:rsidR="00C659BB" w:rsidRDefault="00C659BB" w:rsidP="00C659BB">
            <w:r>
              <w:t>Mobilní aplikace musí obsahovat ochranu pomocí RASP technologie a zabezpečit detekci:</w:t>
            </w:r>
          </w:p>
          <w:p w14:paraId="37FE0F08" w14:textId="77777777" w:rsidR="00C659BB" w:rsidRDefault="00C659BB" w:rsidP="00C659BB">
            <w:pPr>
              <w:pStyle w:val="Odstavecseseznamem"/>
              <w:numPr>
                <w:ilvl w:val="0"/>
                <w:numId w:val="38"/>
              </w:numPr>
            </w:pPr>
            <w:r>
              <w:t>instalace aplikace z nedůvěryhodného zdroje,</w:t>
            </w:r>
          </w:p>
          <w:p w14:paraId="28938584" w14:textId="77777777" w:rsidR="00C659BB" w:rsidRDefault="00C659BB" w:rsidP="00C659BB">
            <w:pPr>
              <w:pStyle w:val="Odstavecseseznamem"/>
              <w:numPr>
                <w:ilvl w:val="0"/>
                <w:numId w:val="38"/>
              </w:numPr>
            </w:pPr>
            <w:r>
              <w:t>přebalení aplikace,</w:t>
            </w:r>
          </w:p>
          <w:p w14:paraId="3E75EA1A" w14:textId="77777777" w:rsidR="00C659BB" w:rsidRDefault="00C659BB" w:rsidP="00C659BB">
            <w:pPr>
              <w:pStyle w:val="Odstavecseseznamem"/>
              <w:numPr>
                <w:ilvl w:val="0"/>
                <w:numId w:val="38"/>
              </w:numPr>
            </w:pPr>
            <w:r>
              <w:t>root/jailbreak OS,</w:t>
            </w:r>
          </w:p>
          <w:p w14:paraId="4CA2B66B" w14:textId="77777777" w:rsidR="00C659BB" w:rsidRDefault="00C659BB" w:rsidP="00C659BB">
            <w:pPr>
              <w:pStyle w:val="Odstavecseseznamem"/>
              <w:numPr>
                <w:ilvl w:val="0"/>
                <w:numId w:val="38"/>
              </w:numPr>
            </w:pPr>
            <w:r>
              <w:t>napojení na debug nástroje,</w:t>
            </w:r>
          </w:p>
          <w:p w14:paraId="193D11F2" w14:textId="77777777" w:rsidR="00C659BB" w:rsidRDefault="00C659BB" w:rsidP="00C659BB">
            <w:pPr>
              <w:pStyle w:val="Odstavecseseznamem"/>
              <w:numPr>
                <w:ilvl w:val="0"/>
                <w:numId w:val="38"/>
              </w:numPr>
            </w:pPr>
            <w:r>
              <w:t>nástrojů pro odposlouchávání aktivity,</w:t>
            </w:r>
          </w:p>
          <w:p w14:paraId="74EBAE58" w14:textId="404D3B33" w:rsidR="00C659BB" w:rsidRDefault="00C659BB" w:rsidP="00C301EB">
            <w:pPr>
              <w:pStyle w:val="Odstavecseseznamem"/>
              <w:numPr>
                <w:ilvl w:val="0"/>
                <w:numId w:val="38"/>
              </w:numPr>
            </w:pPr>
            <w:r>
              <w:t>využití zámku telefonu a jeho změny.</w:t>
            </w:r>
          </w:p>
        </w:tc>
        <w:tc>
          <w:tcPr>
            <w:tcW w:w="1843" w:type="dxa"/>
          </w:tcPr>
          <w:p w14:paraId="108C60DB" w14:textId="77777777" w:rsidR="00C659BB" w:rsidRDefault="00C659BB" w:rsidP="00C301EB"/>
        </w:tc>
        <w:tc>
          <w:tcPr>
            <w:tcW w:w="5350" w:type="dxa"/>
          </w:tcPr>
          <w:p w14:paraId="746C60D6" w14:textId="77777777" w:rsidR="00C659BB" w:rsidRDefault="00C659BB" w:rsidP="00C301EB"/>
        </w:tc>
      </w:tr>
      <w:tr w:rsidR="00C659BB" w14:paraId="0948C249" w14:textId="77777777" w:rsidTr="006E5154">
        <w:tc>
          <w:tcPr>
            <w:tcW w:w="1786" w:type="dxa"/>
            <w:vMerge/>
          </w:tcPr>
          <w:p w14:paraId="2435BE63" w14:textId="77777777" w:rsidR="00C659BB" w:rsidRDefault="00C659BB" w:rsidP="00C301EB"/>
        </w:tc>
        <w:tc>
          <w:tcPr>
            <w:tcW w:w="5013" w:type="dxa"/>
          </w:tcPr>
          <w:p w14:paraId="3CD5A1B9" w14:textId="1551EF67" w:rsidR="00C659BB" w:rsidRDefault="00C659BB" w:rsidP="00C659BB">
            <w:r>
              <w:t>Kompatibilita s Windows Server 2022 Datacenter.</w:t>
            </w:r>
          </w:p>
        </w:tc>
        <w:tc>
          <w:tcPr>
            <w:tcW w:w="1843" w:type="dxa"/>
          </w:tcPr>
          <w:p w14:paraId="6AAA142A" w14:textId="77777777" w:rsidR="00C659BB" w:rsidRDefault="00C659BB" w:rsidP="00C301EB"/>
        </w:tc>
        <w:tc>
          <w:tcPr>
            <w:tcW w:w="5350" w:type="dxa"/>
          </w:tcPr>
          <w:p w14:paraId="19D486EC" w14:textId="77777777" w:rsidR="00C659BB" w:rsidRDefault="00C659BB" w:rsidP="00C301EB"/>
        </w:tc>
      </w:tr>
      <w:tr w:rsidR="00C659BB" w14:paraId="6CA72929" w14:textId="77777777" w:rsidTr="006E5154">
        <w:tc>
          <w:tcPr>
            <w:tcW w:w="1786" w:type="dxa"/>
            <w:vMerge/>
          </w:tcPr>
          <w:p w14:paraId="61A9669C" w14:textId="77777777" w:rsidR="00C659BB" w:rsidRDefault="00C659BB" w:rsidP="00C301EB"/>
        </w:tc>
        <w:tc>
          <w:tcPr>
            <w:tcW w:w="5013" w:type="dxa"/>
          </w:tcPr>
          <w:p w14:paraId="75157D7C" w14:textId="77777777" w:rsidR="00C659BB" w:rsidRDefault="00C659BB" w:rsidP="00C659BB">
            <w:r>
              <w:t>Licence může být i druhotná, musí ale splňovat podmínky pro legální převod vlastnictví:</w:t>
            </w:r>
          </w:p>
          <w:p w14:paraId="547C037E" w14:textId="77777777" w:rsidR="00C659BB" w:rsidRDefault="00C659BB" w:rsidP="00C659BB">
            <w:pPr>
              <w:pStyle w:val="Odstavecseseznamem"/>
              <w:numPr>
                <w:ilvl w:val="1"/>
                <w:numId w:val="38"/>
              </w:numPr>
            </w:pPr>
            <w:r>
              <w:t>První země použití byla v rámci EU/EHP nebo Švýcarsko.</w:t>
            </w:r>
          </w:p>
          <w:p w14:paraId="349EE5F2" w14:textId="77777777" w:rsidR="00C659BB" w:rsidRDefault="00C659BB" w:rsidP="00C659BB">
            <w:pPr>
              <w:pStyle w:val="Odstavecseseznamem"/>
              <w:numPr>
                <w:ilvl w:val="1"/>
                <w:numId w:val="38"/>
              </w:numPr>
            </w:pPr>
            <w:r>
              <w:t>Produkt byl plně uhrazen vlastníkovi autorských práv.</w:t>
            </w:r>
          </w:p>
          <w:p w14:paraId="4EE84157" w14:textId="77777777" w:rsidR="00C659BB" w:rsidRDefault="00C659BB" w:rsidP="00C659BB">
            <w:pPr>
              <w:pStyle w:val="Odstavecseseznamem"/>
              <w:numPr>
                <w:ilvl w:val="1"/>
                <w:numId w:val="38"/>
              </w:numPr>
            </w:pPr>
            <w:r>
              <w:t>Produkt je trvalý a jeho použití není časově omezeno.</w:t>
            </w:r>
          </w:p>
          <w:p w14:paraId="3F1F8AEF" w14:textId="77777777" w:rsidR="00C659BB" w:rsidRDefault="00C659BB" w:rsidP="00C659BB">
            <w:pPr>
              <w:pStyle w:val="Odstavecseseznamem"/>
              <w:numPr>
                <w:ilvl w:val="1"/>
                <w:numId w:val="38"/>
              </w:numPr>
            </w:pPr>
            <w:r>
              <w:t>Produkt již není používán jiným majitelem.</w:t>
            </w:r>
          </w:p>
          <w:p w14:paraId="3AD25E51" w14:textId="0EA1315B" w:rsidR="00C659BB" w:rsidRDefault="00C659BB" w:rsidP="00C659BB">
            <w:pPr>
              <w:pStyle w:val="Odstavecseseznamem"/>
              <w:numPr>
                <w:ilvl w:val="1"/>
                <w:numId w:val="38"/>
              </w:numPr>
            </w:pPr>
            <w:r>
              <w:t>Součástí těchto nabízených licencí musí být dodání dokumentace o legálnosti v souladu s výše uvedenými podmínkami, s právními předpisy EU a ČR.</w:t>
            </w:r>
          </w:p>
        </w:tc>
        <w:tc>
          <w:tcPr>
            <w:tcW w:w="1843" w:type="dxa"/>
          </w:tcPr>
          <w:p w14:paraId="337915A1" w14:textId="77777777" w:rsidR="00C659BB" w:rsidRDefault="00C659BB" w:rsidP="00C301EB"/>
        </w:tc>
        <w:tc>
          <w:tcPr>
            <w:tcW w:w="5350" w:type="dxa"/>
          </w:tcPr>
          <w:p w14:paraId="473F90EA" w14:textId="77777777" w:rsidR="00C659BB" w:rsidRDefault="00C659BB" w:rsidP="00C301EB"/>
        </w:tc>
      </w:tr>
      <w:tr w:rsidR="00C659BB" w14:paraId="10105480" w14:textId="77777777" w:rsidTr="006E5154">
        <w:tc>
          <w:tcPr>
            <w:tcW w:w="1786" w:type="dxa"/>
            <w:vMerge/>
          </w:tcPr>
          <w:p w14:paraId="307982FB" w14:textId="77777777" w:rsidR="00C659BB" w:rsidRDefault="00C659BB" w:rsidP="00C301EB"/>
        </w:tc>
        <w:tc>
          <w:tcPr>
            <w:tcW w:w="5013" w:type="dxa"/>
          </w:tcPr>
          <w:p w14:paraId="3CC04507" w14:textId="77777777" w:rsidR="00C659BB" w:rsidRDefault="00C659BB" w:rsidP="00C659BB">
            <w:r>
              <w:t>Licence musí být trvalá (perpetual).</w:t>
            </w:r>
          </w:p>
          <w:p w14:paraId="40A29AC5" w14:textId="6E53284D" w:rsidR="00C659BB" w:rsidRDefault="00C659BB" w:rsidP="00C659BB">
            <w:r>
              <w:lastRenderedPageBreak/>
              <w:t>Licence musí být na uživatele (user).</w:t>
            </w:r>
          </w:p>
        </w:tc>
        <w:tc>
          <w:tcPr>
            <w:tcW w:w="1843" w:type="dxa"/>
          </w:tcPr>
          <w:p w14:paraId="39184B43" w14:textId="77777777" w:rsidR="00C659BB" w:rsidRDefault="00C659BB" w:rsidP="00C301EB"/>
        </w:tc>
        <w:tc>
          <w:tcPr>
            <w:tcW w:w="5350" w:type="dxa"/>
          </w:tcPr>
          <w:p w14:paraId="740C1F0E" w14:textId="77777777" w:rsidR="00C659BB" w:rsidRDefault="00C659BB" w:rsidP="00C301EB"/>
        </w:tc>
      </w:tr>
      <w:tr w:rsidR="00C659BB" w14:paraId="0A6B1674" w14:textId="77777777" w:rsidTr="006E5154">
        <w:tc>
          <w:tcPr>
            <w:tcW w:w="1786" w:type="dxa"/>
            <w:vMerge/>
          </w:tcPr>
          <w:p w14:paraId="2B955EFA" w14:textId="77777777" w:rsidR="00C659BB" w:rsidRDefault="00C659BB" w:rsidP="00C301EB"/>
        </w:tc>
        <w:tc>
          <w:tcPr>
            <w:tcW w:w="5013" w:type="dxa"/>
          </w:tcPr>
          <w:p w14:paraId="1C695F95" w14:textId="71CB1F28" w:rsidR="00C659BB" w:rsidRDefault="00C659BB" w:rsidP="00C659BB">
            <w:r>
              <w:t>Licence musí být pro 70 uživatelů.</w:t>
            </w:r>
          </w:p>
        </w:tc>
        <w:tc>
          <w:tcPr>
            <w:tcW w:w="1843" w:type="dxa"/>
          </w:tcPr>
          <w:p w14:paraId="1184AAE7" w14:textId="77777777" w:rsidR="00C659BB" w:rsidRDefault="00C659BB" w:rsidP="00C301EB"/>
        </w:tc>
        <w:tc>
          <w:tcPr>
            <w:tcW w:w="5350" w:type="dxa"/>
          </w:tcPr>
          <w:p w14:paraId="299D163E" w14:textId="77777777" w:rsidR="00C659BB" w:rsidRDefault="00C659BB" w:rsidP="00C301EB"/>
        </w:tc>
      </w:tr>
      <w:tr w:rsidR="00C659BB" w14:paraId="1A0CCC10" w14:textId="77777777" w:rsidTr="006E5154">
        <w:tc>
          <w:tcPr>
            <w:tcW w:w="1786" w:type="dxa"/>
            <w:vMerge/>
          </w:tcPr>
          <w:p w14:paraId="5DB53DF0" w14:textId="77777777" w:rsidR="00C659BB" w:rsidRDefault="00C659BB" w:rsidP="00C301EB"/>
        </w:tc>
        <w:tc>
          <w:tcPr>
            <w:tcW w:w="5013" w:type="dxa"/>
          </w:tcPr>
          <w:p w14:paraId="599642E7" w14:textId="77777777" w:rsidR="00C659BB" w:rsidRDefault="00C659BB" w:rsidP="00C659BB">
            <w:r>
              <w:t>Implementace v minimálním rozsahu:</w:t>
            </w:r>
          </w:p>
          <w:p w14:paraId="74916E02" w14:textId="77777777" w:rsidR="00C659BB" w:rsidRDefault="00C659BB" w:rsidP="00C659BB">
            <w:pPr>
              <w:pStyle w:val="Odstavecseseznamem"/>
              <w:numPr>
                <w:ilvl w:val="0"/>
                <w:numId w:val="32"/>
              </w:numPr>
            </w:pPr>
            <w:r>
              <w:t>Příprava prostředí pro 70 uživatelů.</w:t>
            </w:r>
          </w:p>
          <w:p w14:paraId="0A36379E" w14:textId="77777777" w:rsidR="00C659BB" w:rsidRDefault="00C659BB" w:rsidP="00C659BB">
            <w:pPr>
              <w:pStyle w:val="Odstavecseseznamem"/>
              <w:numPr>
                <w:ilvl w:val="0"/>
                <w:numId w:val="32"/>
              </w:numPr>
            </w:pPr>
            <w:r>
              <w:t>Testování funkčnosti vícefaktorového ověřování v terminálovém režimu.</w:t>
            </w:r>
          </w:p>
          <w:p w14:paraId="5D0069A9" w14:textId="77777777" w:rsidR="00C659BB" w:rsidRDefault="00C659BB" w:rsidP="00C659BB">
            <w:pPr>
              <w:pStyle w:val="Odstavecseseznamem"/>
              <w:numPr>
                <w:ilvl w:val="0"/>
                <w:numId w:val="32"/>
              </w:numPr>
            </w:pPr>
            <w:r>
              <w:t>Vyhodnocení testů a identifikace případných potřeb úprav.</w:t>
            </w:r>
          </w:p>
          <w:p w14:paraId="73E25A3F" w14:textId="77777777" w:rsidR="00C659BB" w:rsidRDefault="00C659BB" w:rsidP="00C659BB">
            <w:pPr>
              <w:pStyle w:val="Odstavecseseznamem"/>
              <w:numPr>
                <w:ilvl w:val="0"/>
                <w:numId w:val="32"/>
              </w:numPr>
            </w:pPr>
            <w:r>
              <w:t>Upřesnění technického návrhu dle výsledků testování.</w:t>
            </w:r>
          </w:p>
          <w:p w14:paraId="4DAD2BA1" w14:textId="77777777" w:rsidR="00C659BB" w:rsidRDefault="00C659BB" w:rsidP="00C659BB">
            <w:pPr>
              <w:pStyle w:val="Odstavecseseznamem"/>
              <w:numPr>
                <w:ilvl w:val="0"/>
                <w:numId w:val="32"/>
              </w:numPr>
            </w:pPr>
            <w:r>
              <w:t>Nasazení do ověřovacího provozu pro určenou testovací skupinu uživatelů.</w:t>
            </w:r>
          </w:p>
          <w:p w14:paraId="076FAC5D" w14:textId="77777777" w:rsidR="00C659BB" w:rsidRDefault="00C659BB" w:rsidP="00C659BB">
            <w:pPr>
              <w:pStyle w:val="Odstavecseseznamem"/>
              <w:numPr>
                <w:ilvl w:val="0"/>
                <w:numId w:val="32"/>
              </w:numPr>
            </w:pPr>
            <w:r>
              <w:t>Zpracování dokumentace skutečného provedení řešení.</w:t>
            </w:r>
          </w:p>
          <w:p w14:paraId="0D160831" w14:textId="0AEAD26F" w:rsidR="00C659BB" w:rsidRDefault="00C659BB" w:rsidP="00C659BB">
            <w:pPr>
              <w:pStyle w:val="Odstavecseseznamem"/>
              <w:numPr>
                <w:ilvl w:val="0"/>
                <w:numId w:val="32"/>
              </w:numPr>
            </w:pPr>
            <w:r>
              <w:t>Zaškolení správců a technické obsluhy systému.</w:t>
            </w:r>
          </w:p>
        </w:tc>
        <w:tc>
          <w:tcPr>
            <w:tcW w:w="1843" w:type="dxa"/>
          </w:tcPr>
          <w:p w14:paraId="2144F7C6" w14:textId="77777777" w:rsidR="00C659BB" w:rsidRDefault="00C659BB" w:rsidP="00C301EB"/>
        </w:tc>
        <w:tc>
          <w:tcPr>
            <w:tcW w:w="5350" w:type="dxa"/>
          </w:tcPr>
          <w:p w14:paraId="6DE234B4" w14:textId="77777777" w:rsidR="00C659BB" w:rsidRDefault="00C659BB" w:rsidP="00C301EB"/>
        </w:tc>
      </w:tr>
    </w:tbl>
    <w:p w14:paraId="3445BDFD" w14:textId="77777777" w:rsidR="00583DEE" w:rsidRPr="00C301EB" w:rsidRDefault="00583DEE" w:rsidP="00C301EB"/>
    <w:sectPr w:rsidR="00583DEE" w:rsidRPr="00C301EB" w:rsidSect="006E515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C389B" w14:textId="77777777" w:rsidR="00F320E2" w:rsidRDefault="00F320E2" w:rsidP="00FF2308">
      <w:pPr>
        <w:spacing w:after="0"/>
      </w:pPr>
      <w:r>
        <w:separator/>
      </w:r>
    </w:p>
  </w:endnote>
  <w:endnote w:type="continuationSeparator" w:id="0">
    <w:p w14:paraId="580CE3CD" w14:textId="77777777" w:rsidR="00F320E2" w:rsidRDefault="00F320E2" w:rsidP="00FF23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panose1 w:val="05010000000000000000"/>
    <w:charset w:val="80"/>
    <w:family w:val="auto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8432E" w14:textId="77777777" w:rsidR="00F320E2" w:rsidRDefault="00F320E2" w:rsidP="00FF2308">
      <w:pPr>
        <w:spacing w:after="0"/>
      </w:pPr>
      <w:r>
        <w:separator/>
      </w:r>
    </w:p>
  </w:footnote>
  <w:footnote w:type="continuationSeparator" w:id="0">
    <w:p w14:paraId="53AD76D0" w14:textId="77777777" w:rsidR="00F320E2" w:rsidRDefault="00F320E2" w:rsidP="00FF23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0"/>
      <w:gridCol w:w="2376"/>
      <w:gridCol w:w="1984"/>
    </w:tblGrid>
    <w:tr w:rsidR="00F56588" w14:paraId="02805E31" w14:textId="77777777" w:rsidTr="000C24A9">
      <w:tc>
        <w:tcPr>
          <w:tcW w:w="4800" w:type="dxa"/>
        </w:tcPr>
        <w:p w14:paraId="48B84F6C" w14:textId="091A9C22" w:rsidR="00F56588" w:rsidRDefault="00F56588" w:rsidP="000C24A9">
          <w:pPr>
            <w:pStyle w:val="Zhlav"/>
          </w:pPr>
          <w:r>
            <w:rPr>
              <w:noProof/>
            </w:rPr>
            <w:drawing>
              <wp:inline distT="0" distB="0" distL="0" distR="0" wp14:anchorId="5CE48B88" wp14:editId="46C9CFAD">
                <wp:extent cx="2910840" cy="502920"/>
                <wp:effectExtent l="0" t="0" r="0" b="0"/>
                <wp:docPr id="152055754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10840" cy="5029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88" w:type="dxa"/>
        </w:tcPr>
        <w:p w14:paraId="61CBC357" w14:textId="02D4B6CD" w:rsidR="00F56588" w:rsidRDefault="00F56588" w:rsidP="000C24A9">
          <w:pPr>
            <w:pStyle w:val="Zhlav"/>
          </w:pPr>
          <w:r>
            <w:rPr>
              <w:noProof/>
            </w:rPr>
            <w:drawing>
              <wp:inline distT="0" distB="0" distL="0" distR="0" wp14:anchorId="35759411" wp14:editId="7ABE0F7D">
                <wp:extent cx="1371600" cy="384175"/>
                <wp:effectExtent l="0" t="0" r="0" b="0"/>
                <wp:docPr id="1703468469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384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</w:tcPr>
        <w:p w14:paraId="6111CA07" w14:textId="6254575A" w:rsidR="00F56588" w:rsidRPr="009F1401" w:rsidRDefault="00F56588" w:rsidP="009F1401">
          <w:pPr>
            <w:pStyle w:val="Zhlav"/>
            <w:rPr>
              <w:sz w:val="18"/>
              <w:szCs w:val="18"/>
            </w:rPr>
          </w:pPr>
          <w:r w:rsidRPr="009F1401">
            <w:rPr>
              <w:sz w:val="18"/>
              <w:szCs w:val="18"/>
            </w:rPr>
            <w:t xml:space="preserve">Příloha č. </w:t>
          </w:r>
          <w:r w:rsidR="006C6789">
            <w:rPr>
              <w:sz w:val="18"/>
              <w:szCs w:val="18"/>
            </w:rPr>
            <w:t>5</w:t>
          </w:r>
          <w:r w:rsidRPr="009F1401">
            <w:rPr>
              <w:sz w:val="18"/>
              <w:szCs w:val="18"/>
            </w:rPr>
            <w:t xml:space="preserve"> – technické podmínky</w:t>
          </w:r>
        </w:p>
      </w:tc>
    </w:tr>
  </w:tbl>
  <w:p w14:paraId="4FBE8658" w14:textId="7456BC62" w:rsidR="00FF2308" w:rsidRDefault="00FF2308" w:rsidP="00F5658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―"/>
      <w:lvlJc w:val="left"/>
      <w:pPr>
        <w:tabs>
          <w:tab w:val="num" w:pos="0"/>
        </w:tabs>
        <w:ind w:left="1440" w:hanging="360"/>
      </w:pPr>
      <w:rPr>
        <w:rFonts w:ascii="Arial Black" w:hAnsi="Arial Black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663A99"/>
    <w:multiLevelType w:val="hybridMultilevel"/>
    <w:tmpl w:val="9F96B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905E4"/>
    <w:multiLevelType w:val="hybridMultilevel"/>
    <w:tmpl w:val="668EC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51C2D"/>
    <w:multiLevelType w:val="hybridMultilevel"/>
    <w:tmpl w:val="33081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97611"/>
    <w:multiLevelType w:val="hybridMultilevel"/>
    <w:tmpl w:val="609464AE"/>
    <w:lvl w:ilvl="0" w:tplc="4B767F9C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  <w:b/>
        <w:bCs w:val="0"/>
        <w:i w:val="0"/>
      </w:rPr>
    </w:lvl>
    <w:lvl w:ilvl="1" w:tplc="3B429C98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F10DA"/>
    <w:multiLevelType w:val="hybridMultilevel"/>
    <w:tmpl w:val="7CBCAB54"/>
    <w:lvl w:ilvl="0" w:tplc="04626A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61895"/>
    <w:multiLevelType w:val="hybridMultilevel"/>
    <w:tmpl w:val="81AE6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87BD3"/>
    <w:multiLevelType w:val="hybridMultilevel"/>
    <w:tmpl w:val="221CC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2287F"/>
    <w:multiLevelType w:val="hybridMultilevel"/>
    <w:tmpl w:val="6F1AB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E2313"/>
    <w:multiLevelType w:val="hybridMultilevel"/>
    <w:tmpl w:val="A484E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7654D"/>
    <w:multiLevelType w:val="hybridMultilevel"/>
    <w:tmpl w:val="042687E2"/>
    <w:lvl w:ilvl="0" w:tplc="4A949386">
      <w:start w:val="11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86290"/>
    <w:multiLevelType w:val="hybridMultilevel"/>
    <w:tmpl w:val="CBE2125A"/>
    <w:lvl w:ilvl="0" w:tplc="EEA6F8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155A6"/>
    <w:multiLevelType w:val="hybridMultilevel"/>
    <w:tmpl w:val="EE5E5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5492B"/>
    <w:multiLevelType w:val="hybridMultilevel"/>
    <w:tmpl w:val="826E2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75BFC"/>
    <w:multiLevelType w:val="hybridMultilevel"/>
    <w:tmpl w:val="FD368528"/>
    <w:lvl w:ilvl="0" w:tplc="4A949386">
      <w:start w:val="11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663BC"/>
    <w:multiLevelType w:val="hybridMultilevel"/>
    <w:tmpl w:val="CCE2A666"/>
    <w:lvl w:ilvl="0" w:tplc="4A949386">
      <w:start w:val="11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1C2523"/>
    <w:multiLevelType w:val="hybridMultilevel"/>
    <w:tmpl w:val="F0F8E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A315D7"/>
    <w:multiLevelType w:val="hybridMultilevel"/>
    <w:tmpl w:val="CD70F1C2"/>
    <w:lvl w:ilvl="0" w:tplc="71A40978">
      <w:start w:val="1"/>
      <w:numFmt w:val="upperLetter"/>
      <w:pStyle w:val="Nadpis2"/>
      <w:lvlText w:val="%1.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E43FC"/>
    <w:multiLevelType w:val="hybridMultilevel"/>
    <w:tmpl w:val="9B66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C74994"/>
    <w:multiLevelType w:val="hybridMultilevel"/>
    <w:tmpl w:val="D8889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6304F3"/>
    <w:multiLevelType w:val="hybridMultilevel"/>
    <w:tmpl w:val="504CD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C790E"/>
    <w:multiLevelType w:val="hybridMultilevel"/>
    <w:tmpl w:val="C548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5156B"/>
    <w:multiLevelType w:val="hybridMultilevel"/>
    <w:tmpl w:val="C900A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C541E"/>
    <w:multiLevelType w:val="hybridMultilevel"/>
    <w:tmpl w:val="AF4A4ACC"/>
    <w:lvl w:ilvl="0" w:tplc="3B6E51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E364F4"/>
    <w:multiLevelType w:val="hybridMultilevel"/>
    <w:tmpl w:val="5720C66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120181"/>
    <w:multiLevelType w:val="hybridMultilevel"/>
    <w:tmpl w:val="9EC2F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A0964"/>
    <w:multiLevelType w:val="hybridMultilevel"/>
    <w:tmpl w:val="B5147862"/>
    <w:lvl w:ilvl="0" w:tplc="3496A976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C27C9"/>
    <w:multiLevelType w:val="hybridMultilevel"/>
    <w:tmpl w:val="23E44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CB1FBC"/>
    <w:multiLevelType w:val="hybridMultilevel"/>
    <w:tmpl w:val="758289DA"/>
    <w:lvl w:ilvl="0" w:tplc="156E7B8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354D7"/>
    <w:multiLevelType w:val="hybridMultilevel"/>
    <w:tmpl w:val="E61C665A"/>
    <w:lvl w:ilvl="0" w:tplc="4A949386">
      <w:start w:val="11"/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614E10"/>
    <w:multiLevelType w:val="hybridMultilevel"/>
    <w:tmpl w:val="003EB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A161E0"/>
    <w:multiLevelType w:val="hybridMultilevel"/>
    <w:tmpl w:val="58C26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737989"/>
    <w:multiLevelType w:val="hybridMultilevel"/>
    <w:tmpl w:val="9CCE17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EE3853"/>
    <w:multiLevelType w:val="hybridMultilevel"/>
    <w:tmpl w:val="78B8B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429463">
    <w:abstractNumId w:val="11"/>
  </w:num>
  <w:num w:numId="2" w16cid:durableId="1395616788">
    <w:abstractNumId w:val="4"/>
  </w:num>
  <w:num w:numId="3" w16cid:durableId="1522746959">
    <w:abstractNumId w:val="5"/>
  </w:num>
  <w:num w:numId="4" w16cid:durableId="604075864">
    <w:abstractNumId w:val="23"/>
  </w:num>
  <w:num w:numId="5" w16cid:durableId="1762480963">
    <w:abstractNumId w:val="24"/>
  </w:num>
  <w:num w:numId="6" w16cid:durableId="1191576179">
    <w:abstractNumId w:val="1"/>
  </w:num>
  <w:num w:numId="7" w16cid:durableId="378747633">
    <w:abstractNumId w:val="17"/>
  </w:num>
  <w:num w:numId="8" w16cid:durableId="2068799907">
    <w:abstractNumId w:val="16"/>
  </w:num>
  <w:num w:numId="9" w16cid:durableId="864753779">
    <w:abstractNumId w:val="27"/>
  </w:num>
  <w:num w:numId="10" w16cid:durableId="492255722">
    <w:abstractNumId w:val="17"/>
    <w:lvlOverride w:ilvl="0">
      <w:startOverride w:val="1"/>
    </w:lvlOverride>
  </w:num>
  <w:num w:numId="11" w16cid:durableId="341512797">
    <w:abstractNumId w:val="21"/>
  </w:num>
  <w:num w:numId="12" w16cid:durableId="1385643104">
    <w:abstractNumId w:val="19"/>
  </w:num>
  <w:num w:numId="13" w16cid:durableId="430245536">
    <w:abstractNumId w:val="28"/>
  </w:num>
  <w:num w:numId="14" w16cid:durableId="778644594">
    <w:abstractNumId w:val="20"/>
  </w:num>
  <w:num w:numId="15" w16cid:durableId="772554629">
    <w:abstractNumId w:val="8"/>
  </w:num>
  <w:num w:numId="16" w16cid:durableId="1929925604">
    <w:abstractNumId w:val="26"/>
  </w:num>
  <w:num w:numId="17" w16cid:durableId="1554464590">
    <w:abstractNumId w:val="22"/>
  </w:num>
  <w:num w:numId="18" w16cid:durableId="567111356">
    <w:abstractNumId w:val="14"/>
  </w:num>
  <w:num w:numId="19" w16cid:durableId="1689481983">
    <w:abstractNumId w:val="29"/>
  </w:num>
  <w:num w:numId="20" w16cid:durableId="151724801">
    <w:abstractNumId w:val="10"/>
  </w:num>
  <w:num w:numId="21" w16cid:durableId="812063996">
    <w:abstractNumId w:val="15"/>
  </w:num>
  <w:num w:numId="22" w16cid:durableId="759135567">
    <w:abstractNumId w:val="32"/>
  </w:num>
  <w:num w:numId="23" w16cid:durableId="644702562">
    <w:abstractNumId w:val="17"/>
    <w:lvlOverride w:ilvl="0">
      <w:startOverride w:val="1"/>
    </w:lvlOverride>
  </w:num>
  <w:num w:numId="24" w16cid:durableId="236479214">
    <w:abstractNumId w:val="17"/>
    <w:lvlOverride w:ilvl="0">
      <w:startOverride w:val="1"/>
    </w:lvlOverride>
  </w:num>
  <w:num w:numId="25" w16cid:durableId="460537154">
    <w:abstractNumId w:val="30"/>
  </w:num>
  <w:num w:numId="26" w16cid:durableId="1431899372">
    <w:abstractNumId w:val="7"/>
  </w:num>
  <w:num w:numId="27" w16cid:durableId="1632638424">
    <w:abstractNumId w:val="12"/>
  </w:num>
  <w:num w:numId="28" w16cid:durableId="94787756">
    <w:abstractNumId w:val="3"/>
  </w:num>
  <w:num w:numId="29" w16cid:durableId="181867447">
    <w:abstractNumId w:val="31"/>
  </w:num>
  <w:num w:numId="30" w16cid:durableId="1864051880">
    <w:abstractNumId w:val="0"/>
  </w:num>
  <w:num w:numId="31" w16cid:durableId="422341991">
    <w:abstractNumId w:val="6"/>
  </w:num>
  <w:num w:numId="32" w16cid:durableId="1106079791">
    <w:abstractNumId w:val="33"/>
  </w:num>
  <w:num w:numId="33" w16cid:durableId="2013407277">
    <w:abstractNumId w:val="2"/>
  </w:num>
  <w:num w:numId="34" w16cid:durableId="451099488">
    <w:abstractNumId w:val="4"/>
    <w:lvlOverride w:ilvl="0">
      <w:startOverride w:val="1"/>
    </w:lvlOverride>
  </w:num>
  <w:num w:numId="35" w16cid:durableId="588007306">
    <w:abstractNumId w:val="17"/>
    <w:lvlOverride w:ilvl="0">
      <w:startOverride w:val="1"/>
    </w:lvlOverride>
  </w:num>
  <w:num w:numId="36" w16cid:durableId="2140805302">
    <w:abstractNumId w:val="9"/>
  </w:num>
  <w:num w:numId="37" w16cid:durableId="2095011536">
    <w:abstractNumId w:val="17"/>
    <w:lvlOverride w:ilvl="0">
      <w:startOverride w:val="1"/>
    </w:lvlOverride>
  </w:num>
  <w:num w:numId="38" w16cid:durableId="1761484486">
    <w:abstractNumId w:val="18"/>
  </w:num>
  <w:num w:numId="39" w16cid:durableId="1012491111">
    <w:abstractNumId w:val="13"/>
  </w:num>
  <w:num w:numId="40" w16cid:durableId="57863449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223"/>
    <w:rsid w:val="0005244E"/>
    <w:rsid w:val="000672D2"/>
    <w:rsid w:val="000741E9"/>
    <w:rsid w:val="00080652"/>
    <w:rsid w:val="000910E5"/>
    <w:rsid w:val="000940FE"/>
    <w:rsid w:val="000B09FF"/>
    <w:rsid w:val="000C24A9"/>
    <w:rsid w:val="000D0702"/>
    <w:rsid w:val="000D159C"/>
    <w:rsid w:val="000E7CA7"/>
    <w:rsid w:val="00124CF5"/>
    <w:rsid w:val="0014635E"/>
    <w:rsid w:val="00164AB5"/>
    <w:rsid w:val="00165AA1"/>
    <w:rsid w:val="00177EB4"/>
    <w:rsid w:val="001877C9"/>
    <w:rsid w:val="001C6BDF"/>
    <w:rsid w:val="001D4E3C"/>
    <w:rsid w:val="001E596C"/>
    <w:rsid w:val="001F4452"/>
    <w:rsid w:val="001F7743"/>
    <w:rsid w:val="002170E6"/>
    <w:rsid w:val="00220E50"/>
    <w:rsid w:val="00221962"/>
    <w:rsid w:val="00227230"/>
    <w:rsid w:val="00240A1D"/>
    <w:rsid w:val="00243D77"/>
    <w:rsid w:val="00243FCA"/>
    <w:rsid w:val="0024411A"/>
    <w:rsid w:val="00250E68"/>
    <w:rsid w:val="00252D81"/>
    <w:rsid w:val="00254DFF"/>
    <w:rsid w:val="00254EB0"/>
    <w:rsid w:val="002D0C02"/>
    <w:rsid w:val="002D7506"/>
    <w:rsid w:val="003320FE"/>
    <w:rsid w:val="003405BA"/>
    <w:rsid w:val="003440D9"/>
    <w:rsid w:val="0034439F"/>
    <w:rsid w:val="00355F76"/>
    <w:rsid w:val="00365759"/>
    <w:rsid w:val="003705F3"/>
    <w:rsid w:val="00377EC1"/>
    <w:rsid w:val="00382342"/>
    <w:rsid w:val="003B17FE"/>
    <w:rsid w:val="003B759C"/>
    <w:rsid w:val="003D4263"/>
    <w:rsid w:val="003F5CA3"/>
    <w:rsid w:val="00400C1C"/>
    <w:rsid w:val="00400C32"/>
    <w:rsid w:val="00402618"/>
    <w:rsid w:val="00402825"/>
    <w:rsid w:val="004148DE"/>
    <w:rsid w:val="00442C38"/>
    <w:rsid w:val="004618B9"/>
    <w:rsid w:val="00486B00"/>
    <w:rsid w:val="004B7A65"/>
    <w:rsid w:val="004C0869"/>
    <w:rsid w:val="004F2687"/>
    <w:rsid w:val="0051651B"/>
    <w:rsid w:val="005173FA"/>
    <w:rsid w:val="0052367C"/>
    <w:rsid w:val="00544F58"/>
    <w:rsid w:val="005637FE"/>
    <w:rsid w:val="005725E4"/>
    <w:rsid w:val="005757CF"/>
    <w:rsid w:val="00583DEE"/>
    <w:rsid w:val="005845A2"/>
    <w:rsid w:val="005A1154"/>
    <w:rsid w:val="005D2171"/>
    <w:rsid w:val="005E0A8F"/>
    <w:rsid w:val="00617DEB"/>
    <w:rsid w:val="006347DE"/>
    <w:rsid w:val="00641766"/>
    <w:rsid w:val="006538BE"/>
    <w:rsid w:val="00663CFE"/>
    <w:rsid w:val="00665CF9"/>
    <w:rsid w:val="00666369"/>
    <w:rsid w:val="006704B1"/>
    <w:rsid w:val="006A3F6C"/>
    <w:rsid w:val="006C6789"/>
    <w:rsid w:val="006D311B"/>
    <w:rsid w:val="006D3EC1"/>
    <w:rsid w:val="006E36A6"/>
    <w:rsid w:val="006E5154"/>
    <w:rsid w:val="006F2CC8"/>
    <w:rsid w:val="00700DF3"/>
    <w:rsid w:val="00742F6B"/>
    <w:rsid w:val="00772B57"/>
    <w:rsid w:val="0078106E"/>
    <w:rsid w:val="007822F7"/>
    <w:rsid w:val="0078535D"/>
    <w:rsid w:val="007A4943"/>
    <w:rsid w:val="007A7223"/>
    <w:rsid w:val="007A74C0"/>
    <w:rsid w:val="007A7FC7"/>
    <w:rsid w:val="007B7047"/>
    <w:rsid w:val="007D56EE"/>
    <w:rsid w:val="007D6B9A"/>
    <w:rsid w:val="008133F8"/>
    <w:rsid w:val="008166CF"/>
    <w:rsid w:val="00836E80"/>
    <w:rsid w:val="00837C9A"/>
    <w:rsid w:val="00843349"/>
    <w:rsid w:val="00860316"/>
    <w:rsid w:val="00861F1B"/>
    <w:rsid w:val="00896F3A"/>
    <w:rsid w:val="008A6F6E"/>
    <w:rsid w:val="008C7892"/>
    <w:rsid w:val="008D2F01"/>
    <w:rsid w:val="008E0470"/>
    <w:rsid w:val="008F6165"/>
    <w:rsid w:val="008F707F"/>
    <w:rsid w:val="00913ACC"/>
    <w:rsid w:val="00921EA1"/>
    <w:rsid w:val="00987277"/>
    <w:rsid w:val="009A415D"/>
    <w:rsid w:val="009A51C4"/>
    <w:rsid w:val="009A7DE2"/>
    <w:rsid w:val="009C5C29"/>
    <w:rsid w:val="009C6190"/>
    <w:rsid w:val="009E7B13"/>
    <w:rsid w:val="009F1401"/>
    <w:rsid w:val="00A10239"/>
    <w:rsid w:val="00A143D0"/>
    <w:rsid w:val="00A66C19"/>
    <w:rsid w:val="00A8496E"/>
    <w:rsid w:val="00A93573"/>
    <w:rsid w:val="00A97BDE"/>
    <w:rsid w:val="00AA4A61"/>
    <w:rsid w:val="00AA7B62"/>
    <w:rsid w:val="00AC29B4"/>
    <w:rsid w:val="00AD2050"/>
    <w:rsid w:val="00B22FD0"/>
    <w:rsid w:val="00B41FF5"/>
    <w:rsid w:val="00B5569F"/>
    <w:rsid w:val="00B61E90"/>
    <w:rsid w:val="00B766DC"/>
    <w:rsid w:val="00B829FA"/>
    <w:rsid w:val="00BB7957"/>
    <w:rsid w:val="00BD2611"/>
    <w:rsid w:val="00BD3AE5"/>
    <w:rsid w:val="00C137CC"/>
    <w:rsid w:val="00C301EB"/>
    <w:rsid w:val="00C31209"/>
    <w:rsid w:val="00C33030"/>
    <w:rsid w:val="00C50FC3"/>
    <w:rsid w:val="00C56E81"/>
    <w:rsid w:val="00C60F92"/>
    <w:rsid w:val="00C659BB"/>
    <w:rsid w:val="00C827C0"/>
    <w:rsid w:val="00C85F39"/>
    <w:rsid w:val="00CB579F"/>
    <w:rsid w:val="00CF3103"/>
    <w:rsid w:val="00D14AE6"/>
    <w:rsid w:val="00D2497F"/>
    <w:rsid w:val="00D37310"/>
    <w:rsid w:val="00D5749C"/>
    <w:rsid w:val="00D6118C"/>
    <w:rsid w:val="00D72F76"/>
    <w:rsid w:val="00D83E5A"/>
    <w:rsid w:val="00D913FA"/>
    <w:rsid w:val="00DB061A"/>
    <w:rsid w:val="00DB0DB7"/>
    <w:rsid w:val="00DB4244"/>
    <w:rsid w:val="00DC2E08"/>
    <w:rsid w:val="00E07B2B"/>
    <w:rsid w:val="00E20F25"/>
    <w:rsid w:val="00E501E0"/>
    <w:rsid w:val="00E61039"/>
    <w:rsid w:val="00E66849"/>
    <w:rsid w:val="00E9778A"/>
    <w:rsid w:val="00EA0E91"/>
    <w:rsid w:val="00EB33E6"/>
    <w:rsid w:val="00EE1BE2"/>
    <w:rsid w:val="00F01AFE"/>
    <w:rsid w:val="00F057B8"/>
    <w:rsid w:val="00F22175"/>
    <w:rsid w:val="00F320E2"/>
    <w:rsid w:val="00F55C27"/>
    <w:rsid w:val="00F56588"/>
    <w:rsid w:val="00F6622E"/>
    <w:rsid w:val="00F66F4F"/>
    <w:rsid w:val="00F71312"/>
    <w:rsid w:val="00F844D9"/>
    <w:rsid w:val="00F934E4"/>
    <w:rsid w:val="00F95085"/>
    <w:rsid w:val="00F978B4"/>
    <w:rsid w:val="00FA05F2"/>
    <w:rsid w:val="00FA568A"/>
    <w:rsid w:val="00FB3CBE"/>
    <w:rsid w:val="00FB7FF6"/>
    <w:rsid w:val="00FD71FD"/>
    <w:rsid w:val="00F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3ACC5"/>
  <w15:chartTrackingRefBased/>
  <w15:docId w15:val="{157093D1-716F-4DF9-ACCF-8EF51EDBE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6E81"/>
    <w:pPr>
      <w:spacing w:after="12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C29B4"/>
    <w:pPr>
      <w:keepNext/>
      <w:keepLines/>
      <w:numPr>
        <w:numId w:val="2"/>
      </w:numPr>
      <w:spacing w:before="240"/>
      <w:outlineLvl w:val="0"/>
    </w:pPr>
    <w:rPr>
      <w:rFonts w:ascii="Calibri" w:eastAsiaTheme="majorEastAsia" w:hAnsi="Calibr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29B4"/>
    <w:pPr>
      <w:keepNext/>
      <w:keepLines/>
      <w:numPr>
        <w:numId w:val="7"/>
      </w:numPr>
      <w:spacing w:before="40"/>
      <w:outlineLvl w:val="1"/>
    </w:pPr>
    <w:rPr>
      <w:rFonts w:ascii="Calibri" w:eastAsiaTheme="majorEastAsia" w:hAnsi="Calibri" w:cstheme="majorBidi"/>
      <w:b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FF2308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F23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AC29B4"/>
    <w:rPr>
      <w:rFonts w:ascii="Calibri" w:eastAsiaTheme="majorEastAsia" w:hAnsi="Calibri" w:cstheme="majorBidi"/>
      <w:b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FF230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2308"/>
  </w:style>
  <w:style w:type="paragraph" w:styleId="Zpat">
    <w:name w:val="footer"/>
    <w:basedOn w:val="Normln"/>
    <w:link w:val="ZpatChar"/>
    <w:uiPriority w:val="99"/>
    <w:unhideWhenUsed/>
    <w:rsid w:val="00FF230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2308"/>
  </w:style>
  <w:style w:type="character" w:customStyle="1" w:styleId="Nadpis2Char">
    <w:name w:val="Nadpis 2 Char"/>
    <w:basedOn w:val="Standardnpsmoodstavce"/>
    <w:link w:val="Nadpis2"/>
    <w:uiPriority w:val="9"/>
    <w:rsid w:val="00AC29B4"/>
    <w:rPr>
      <w:rFonts w:ascii="Calibri" w:eastAsiaTheme="majorEastAsia" w:hAnsi="Calibri" w:cstheme="majorBidi"/>
      <w:b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9A51C4"/>
    <w:pPr>
      <w:ind w:left="720"/>
      <w:contextualSpacing/>
    </w:pPr>
  </w:style>
  <w:style w:type="paragraph" w:styleId="Bezmezer">
    <w:name w:val="No Spacing"/>
    <w:uiPriority w:val="1"/>
    <w:qFormat/>
    <w:rsid w:val="00252D81"/>
    <w:pPr>
      <w:spacing w:after="0" w:line="240" w:lineRule="auto"/>
    </w:pPr>
    <w:rPr>
      <w:sz w:val="18"/>
    </w:rPr>
  </w:style>
  <w:style w:type="paragraph" w:styleId="Revize">
    <w:name w:val="Revision"/>
    <w:hidden/>
    <w:uiPriority w:val="99"/>
    <w:semiHidden/>
    <w:rsid w:val="00F56588"/>
    <w:pPr>
      <w:spacing w:after="0" w:line="240" w:lineRule="auto"/>
    </w:pPr>
  </w:style>
  <w:style w:type="table" w:styleId="Mkatabulky">
    <w:name w:val="Table Grid"/>
    <w:basedOn w:val="Normlntabulka"/>
    <w:uiPriority w:val="39"/>
    <w:rsid w:val="00F56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704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04B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04B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04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04B1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rsid w:val="00C137CC"/>
    <w:pPr>
      <w:suppressAutoHyphens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C137CC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3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15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09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32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07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2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10</Pages>
  <Words>2572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 Jan</dc:creator>
  <cp:keywords/>
  <dc:description/>
  <cp:lastModifiedBy>Uher Jan</cp:lastModifiedBy>
  <cp:revision>12</cp:revision>
  <dcterms:created xsi:type="dcterms:W3CDTF">2024-09-26T08:33:00Z</dcterms:created>
  <dcterms:modified xsi:type="dcterms:W3CDTF">2025-07-10T20:58:00Z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ca79061-8b4a-431b-83a7-f1e6adeded66_Enabled">
    <vt:lpwstr>true</vt:lpwstr>
  </property>
  <property fmtid="{D5CDD505-2E9C-101B-9397-08002B2CF9AE}" pid="3" name="MSIP_Label_fca79061-8b4a-431b-83a7-f1e6adeded66_SetDate">
    <vt:lpwstr>2024-09-24T09:43:57Z</vt:lpwstr>
  </property>
  <property fmtid="{D5CDD505-2E9C-101B-9397-08002B2CF9AE}" pid="4" name="MSIP_Label_fca79061-8b4a-431b-83a7-f1e6adeded66_Method">
    <vt:lpwstr>Standard</vt:lpwstr>
  </property>
  <property fmtid="{D5CDD505-2E9C-101B-9397-08002B2CF9AE}" pid="5" name="MSIP_Label_fca79061-8b4a-431b-83a7-f1e6adeded66_Name">
    <vt:lpwstr>Internal</vt:lpwstr>
  </property>
  <property fmtid="{D5CDD505-2E9C-101B-9397-08002B2CF9AE}" pid="6" name="MSIP_Label_fca79061-8b4a-431b-83a7-f1e6adeded66_SiteId">
    <vt:lpwstr>203a225f-bf5e-4e56-bb73-a31885ac0d2f</vt:lpwstr>
  </property>
  <property fmtid="{D5CDD505-2E9C-101B-9397-08002B2CF9AE}" pid="7" name="MSIP_Label_fca79061-8b4a-431b-83a7-f1e6adeded66_ActionId">
    <vt:lpwstr>6eb6b3a9-0cdd-4860-943a-48f4bb6ff37a</vt:lpwstr>
  </property>
  <property fmtid="{D5CDD505-2E9C-101B-9397-08002B2CF9AE}" pid="8" name="MSIP_Label_fca79061-8b4a-431b-83a7-f1e6adeded66_ContentBits">
    <vt:lpwstr>0</vt:lpwstr>
  </property>
</Properties>
</file>