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2E6F" w14:textId="77777777" w:rsidR="00E77583" w:rsidRPr="00892DA0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="Cambria" w:hAnsi="Cambria"/>
          <w:b/>
          <w:kern w:val="32"/>
          <w:sz w:val="32"/>
          <w:szCs w:val="32"/>
          <w:lang w:eastAsia="en-US"/>
        </w:rPr>
      </w:pPr>
      <w:r w:rsidRPr="00892DA0">
        <w:rPr>
          <w:rFonts w:ascii="Cambria" w:hAnsi="Cambria"/>
          <w:b/>
          <w:kern w:val="32"/>
          <w:sz w:val="32"/>
          <w:szCs w:val="32"/>
          <w:lang w:eastAsia="en-US"/>
        </w:rPr>
        <w:t>K</w:t>
      </w:r>
      <w:r w:rsidR="00716DE9" w:rsidRPr="00892DA0">
        <w:rPr>
          <w:rFonts w:ascii="Cambria" w:hAnsi="Cambria"/>
          <w:b/>
          <w:kern w:val="32"/>
          <w:sz w:val="32"/>
          <w:szCs w:val="32"/>
          <w:lang w:eastAsia="en-US"/>
        </w:rPr>
        <w:t>RYCÍ LIST NABÍDKY</w:t>
      </w:r>
      <w:r w:rsidRPr="00892DA0">
        <w:rPr>
          <w:rFonts w:ascii="Cambria" w:hAnsi="Cambria"/>
          <w:b/>
          <w:kern w:val="32"/>
          <w:sz w:val="32"/>
          <w:szCs w:val="32"/>
          <w:lang w:eastAsia="en-US"/>
        </w:rPr>
        <w:t xml:space="preserve"> DODAVATELE</w:t>
      </w:r>
    </w:p>
    <w:p w14:paraId="1A4BF5EC" w14:textId="2936B2AE" w:rsidR="00525DB2" w:rsidRPr="00892DA0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892DA0">
        <w:rPr>
          <w:rFonts w:ascii="Cambria" w:hAnsi="Cambria"/>
          <w:sz w:val="20"/>
          <w:szCs w:val="20"/>
        </w:rPr>
        <w:t>pr</w:t>
      </w:r>
      <w:r w:rsidRPr="00892DA0">
        <w:rPr>
          <w:rFonts w:ascii="Cambria" w:hAnsi="Cambria"/>
          <w:bCs/>
          <w:iCs/>
          <w:sz w:val="20"/>
          <w:szCs w:val="20"/>
        </w:rPr>
        <w:t>o veřejnou zakázku na stavební práce zadávanou ve zjednodušeném podlimitním řízení dle § 53 zákona č. 134/2016 Sb., o zadávání veřejných zakázek, ve znění pozdějších předpisů (dále jen „zákon“)</w:t>
      </w:r>
      <w:r w:rsidR="00D63EAB" w:rsidRPr="00892DA0">
        <w:rPr>
          <w:rFonts w:ascii="Cambria" w:hAnsi="Cambria"/>
          <w:bCs/>
          <w:iCs/>
          <w:sz w:val="20"/>
          <w:szCs w:val="20"/>
        </w:rPr>
        <w:t>,</w:t>
      </w:r>
    </w:p>
    <w:p w14:paraId="6F262EE8" w14:textId="77777777" w:rsidR="00525DB2" w:rsidRPr="00892DA0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892DA0">
        <w:rPr>
          <w:rFonts w:ascii="Cambria" w:hAnsi="Cambria"/>
          <w:bCs/>
          <w:iCs/>
          <w:sz w:val="20"/>
          <w:szCs w:val="20"/>
        </w:rPr>
        <w:t xml:space="preserve">s názvem: </w:t>
      </w:r>
    </w:p>
    <w:p w14:paraId="26E26D43" w14:textId="77777777" w:rsidR="00525DB2" w:rsidRPr="00892DA0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</w:p>
    <w:p w14:paraId="59109256" w14:textId="7607C708" w:rsidR="00716DE9" w:rsidRPr="00892DA0" w:rsidRDefault="00A6196D" w:rsidP="00353D9B">
      <w:pPr>
        <w:rPr>
          <w:rFonts w:ascii="Cambria" w:hAnsi="Cambria"/>
          <w:b/>
          <w:sz w:val="18"/>
          <w:szCs w:val="28"/>
        </w:rPr>
      </w:pPr>
      <w:r w:rsidRPr="00AF53E2">
        <w:rPr>
          <w:rFonts w:ascii="Cambria" w:hAnsi="Cambria"/>
          <w:b/>
          <w:sz w:val="28"/>
          <w:szCs w:val="28"/>
        </w:rPr>
        <w:t>„</w:t>
      </w:r>
      <w:r w:rsidRPr="001D5E8A">
        <w:rPr>
          <w:rFonts w:ascii="Cambria" w:eastAsia="Calibri" w:hAnsi="Cambria"/>
          <w:b/>
          <w:bCs/>
          <w:sz w:val="28"/>
          <w:szCs w:val="28"/>
        </w:rPr>
        <w:t>Rekonstrukce víceúčelového hřiště, Podkrušnohorská 1677, Litvínov</w:t>
      </w:r>
      <w:r w:rsidRPr="001D5E8A">
        <w:rPr>
          <w:rFonts w:ascii="Cambria" w:eastAsia="Calibri" w:hAnsi="Cambria"/>
          <w:sz w:val="22"/>
          <w:szCs w:val="20"/>
        </w:rPr>
        <w:t>“</w:t>
      </w:r>
    </w:p>
    <w:p w14:paraId="6BCAD311" w14:textId="77777777" w:rsidR="00517A06" w:rsidRPr="00892DA0" w:rsidRDefault="00716DE9" w:rsidP="009F15D7">
      <w:pPr>
        <w:pBdr>
          <w:bottom w:val="single" w:sz="18" w:space="1" w:color="4F81BD" w:themeColor="accent1"/>
        </w:pBdr>
        <w:spacing w:before="240"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892DA0">
        <w:rPr>
          <w:rFonts w:ascii="Cambria" w:eastAsia="Calibri" w:hAnsi="Cambria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F46A9B" w:rsidRPr="00892DA0" w14:paraId="7EB26731" w14:textId="77777777" w:rsidTr="00183936">
        <w:trPr>
          <w:cantSplit/>
        </w:trPr>
        <w:tc>
          <w:tcPr>
            <w:tcW w:w="2703" w:type="dxa"/>
            <w:vAlign w:val="center"/>
          </w:tcPr>
          <w:p w14:paraId="5F102D9B" w14:textId="77777777" w:rsidR="00F46A9B" w:rsidRPr="00892DA0" w:rsidRDefault="00F46A9B" w:rsidP="00F46A9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0AB28C06" w14:textId="52072E08" w:rsidR="00F46A9B" w:rsidRPr="00892DA0" w:rsidRDefault="00CD1740" w:rsidP="00F46A9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SPORTaS, s.r.o.</w:t>
            </w:r>
          </w:p>
        </w:tc>
      </w:tr>
      <w:tr w:rsidR="00F46A9B" w:rsidRPr="00892DA0" w14:paraId="1887309F" w14:textId="77777777" w:rsidTr="00340582">
        <w:trPr>
          <w:cantSplit/>
        </w:trPr>
        <w:tc>
          <w:tcPr>
            <w:tcW w:w="2703" w:type="dxa"/>
            <w:vAlign w:val="center"/>
          </w:tcPr>
          <w:p w14:paraId="1D2DB8AA" w14:textId="77777777" w:rsidR="00F46A9B" w:rsidRPr="00892DA0" w:rsidRDefault="00F46A9B" w:rsidP="00F46A9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7E1220F4" w14:textId="09BDED33" w:rsidR="00F46A9B" w:rsidRPr="00892DA0" w:rsidRDefault="00CD1740" w:rsidP="00F46A9B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Jiráskova 413, 436 01 Litvínov</w:t>
            </w:r>
          </w:p>
        </w:tc>
      </w:tr>
      <w:tr w:rsidR="00F46A9B" w:rsidRPr="00892DA0" w14:paraId="471CFF36" w14:textId="77777777" w:rsidTr="00183936">
        <w:trPr>
          <w:cantSplit/>
        </w:trPr>
        <w:tc>
          <w:tcPr>
            <w:tcW w:w="2703" w:type="dxa"/>
            <w:vAlign w:val="center"/>
          </w:tcPr>
          <w:p w14:paraId="15610088" w14:textId="77777777" w:rsidR="00F46A9B" w:rsidRPr="00892DA0" w:rsidRDefault="00F46A9B" w:rsidP="00F46A9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55E20CC" w14:textId="4E7C8727" w:rsidR="00F46A9B" w:rsidRPr="00892DA0" w:rsidRDefault="00CD1740" w:rsidP="00F46A9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Ing. Petr Vopat, jednatel</w:t>
            </w:r>
          </w:p>
        </w:tc>
      </w:tr>
      <w:tr w:rsidR="00F46A9B" w:rsidRPr="00892DA0" w14:paraId="77B00CDF" w14:textId="77777777" w:rsidTr="00183936">
        <w:trPr>
          <w:cantSplit/>
        </w:trPr>
        <w:tc>
          <w:tcPr>
            <w:tcW w:w="2703" w:type="dxa"/>
            <w:vAlign w:val="center"/>
          </w:tcPr>
          <w:p w14:paraId="3E7790EF" w14:textId="77777777" w:rsidR="00F46A9B" w:rsidRPr="00892DA0" w:rsidRDefault="00F46A9B" w:rsidP="00F46A9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0C000442" w14:textId="059A6641" w:rsidR="00F46A9B" w:rsidRPr="00892DA0" w:rsidRDefault="00CD1740" w:rsidP="00F46A9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92DA0">
              <w:rPr>
                <w:rFonts w:ascii="Cambria" w:hAnsi="Cambria"/>
                <w:sz w:val="22"/>
                <w:szCs w:val="22"/>
              </w:rPr>
              <w:t>25005430</w:t>
            </w:r>
          </w:p>
        </w:tc>
      </w:tr>
    </w:tbl>
    <w:p w14:paraId="37EAD05B" w14:textId="77777777" w:rsidR="00EA6FD8" w:rsidRPr="00892DA0" w:rsidRDefault="00EA6FD8" w:rsidP="00EA6FD8">
      <w:pPr>
        <w:pBdr>
          <w:bottom w:val="single" w:sz="12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E88E8FE" w14:textId="191DF86E" w:rsidR="00716DE9" w:rsidRPr="00892DA0" w:rsidRDefault="00716DE9" w:rsidP="00440F16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892DA0">
        <w:rPr>
          <w:rFonts w:ascii="Cambria" w:eastAsia="Calibri" w:hAnsi="Cambria"/>
          <w:b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716DE9" w:rsidRPr="00892DA0" w14:paraId="4233AD0B" w14:textId="77777777" w:rsidTr="00EA47B3">
        <w:tc>
          <w:tcPr>
            <w:tcW w:w="2802" w:type="dxa"/>
          </w:tcPr>
          <w:p w14:paraId="355F05FB" w14:textId="77777777" w:rsidR="00716DE9" w:rsidRPr="00892DA0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14:paraId="19754062" w14:textId="77777777" w:rsidR="00716DE9" w:rsidRPr="00892DA0" w:rsidRDefault="009F344B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892DA0" w14:paraId="08B8B5F6" w14:textId="77777777" w:rsidTr="00EA47B3">
        <w:tc>
          <w:tcPr>
            <w:tcW w:w="2802" w:type="dxa"/>
          </w:tcPr>
          <w:p w14:paraId="538256BC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4A465F09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328A09BE" w14:textId="77777777" w:rsidTr="00EA47B3">
        <w:tc>
          <w:tcPr>
            <w:tcW w:w="2802" w:type="dxa"/>
          </w:tcPr>
          <w:p w14:paraId="3129621B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1BA56114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103610AD" w14:textId="77777777" w:rsidTr="00EA47B3">
        <w:tc>
          <w:tcPr>
            <w:tcW w:w="2802" w:type="dxa"/>
          </w:tcPr>
          <w:p w14:paraId="74A490D1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6854971D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78EC4765" w14:textId="77777777" w:rsidTr="00EA47B3">
        <w:tc>
          <w:tcPr>
            <w:tcW w:w="2802" w:type="dxa"/>
          </w:tcPr>
          <w:p w14:paraId="052A67DC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6DF2070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466C3D4A" w14:textId="77777777" w:rsidTr="00EA47B3">
        <w:tc>
          <w:tcPr>
            <w:tcW w:w="2802" w:type="dxa"/>
          </w:tcPr>
          <w:p w14:paraId="1B7BDE50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IČ</w:t>
            </w:r>
            <w:r w:rsidR="00C31F8F"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O</w:t>
            </w: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7A0C56D6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3888AC9F" w14:textId="77777777" w:rsidTr="00EA47B3">
        <w:tc>
          <w:tcPr>
            <w:tcW w:w="2802" w:type="dxa"/>
          </w:tcPr>
          <w:p w14:paraId="417808F0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34FBBCD9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47B3164E" w14:textId="77777777" w:rsidTr="00EA47B3">
        <w:tc>
          <w:tcPr>
            <w:tcW w:w="2802" w:type="dxa"/>
          </w:tcPr>
          <w:p w14:paraId="6E5316CB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049E4B15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7A9B4742" w14:textId="77777777" w:rsidTr="00EA47B3">
        <w:tc>
          <w:tcPr>
            <w:tcW w:w="2802" w:type="dxa"/>
          </w:tcPr>
          <w:p w14:paraId="3C6B9896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06C97BB3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2FFE2F0C" w14:textId="77777777" w:rsidTr="00EA47B3">
        <w:tc>
          <w:tcPr>
            <w:tcW w:w="2802" w:type="dxa"/>
          </w:tcPr>
          <w:p w14:paraId="3209A8E3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37A0D452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514FCDD1" w14:textId="77777777" w:rsidTr="00EA47B3">
        <w:tc>
          <w:tcPr>
            <w:tcW w:w="2802" w:type="dxa"/>
          </w:tcPr>
          <w:p w14:paraId="455FB05B" w14:textId="77777777" w:rsidR="00456006" w:rsidRPr="00892DA0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02FD7A77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892DA0" w14:paraId="5AF57E8E" w14:textId="77777777" w:rsidTr="00EA47B3">
        <w:tc>
          <w:tcPr>
            <w:tcW w:w="2802" w:type="dxa"/>
          </w:tcPr>
          <w:p w14:paraId="7D97B9AB" w14:textId="77777777" w:rsidR="00456006" w:rsidRPr="00892DA0" w:rsidRDefault="00456006" w:rsidP="005631FF">
            <w:pPr>
              <w:spacing w:before="6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40BAD7CC" w14:textId="77777777" w:rsidR="00456006" w:rsidRPr="00892DA0" w:rsidRDefault="009F344B" w:rsidP="005631FF">
            <w:pPr>
              <w:spacing w:before="60" w:after="60"/>
              <w:rPr>
                <w:rFonts w:ascii="Cambria" w:hAnsi="Cambria"/>
              </w:rPr>
            </w:pP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892D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704F870" w14:textId="77777777" w:rsidR="00716DE9" w:rsidRPr="00892DA0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892DA0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4BB94EA" w14:textId="77777777" w:rsidR="00525DB2" w:rsidRPr="00892DA0" w:rsidRDefault="00525DB2">
      <w:pPr>
        <w:rPr>
          <w:rFonts w:ascii="Cambria" w:eastAsia="Calibri" w:hAnsi="Cambria"/>
          <w:lang w:eastAsia="en-US"/>
        </w:rPr>
      </w:pPr>
      <w:r w:rsidRPr="00892DA0">
        <w:rPr>
          <w:rFonts w:ascii="Cambria" w:eastAsia="Calibri" w:hAnsi="Cambria"/>
          <w:lang w:eastAsia="en-US"/>
        </w:rPr>
        <w:br w:type="page"/>
      </w:r>
    </w:p>
    <w:p w14:paraId="1B4C9FA4" w14:textId="77777777" w:rsidR="00716DE9" w:rsidRPr="00892DA0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="Cambria" w:eastAsia="Calibri" w:hAnsi="Cambria"/>
          <w:sz w:val="22"/>
          <w:lang w:eastAsia="en-US"/>
        </w:rPr>
      </w:pPr>
      <w:r w:rsidRPr="00892DA0">
        <w:rPr>
          <w:rFonts w:ascii="Cambria" w:eastAsia="Calibri" w:hAnsi="Cambria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892DA0" w14:paraId="729D94AD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659506C1" w14:textId="77777777" w:rsidR="00716DE9" w:rsidRPr="00892DA0" w:rsidRDefault="00716DE9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892DA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892DA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1311273" w14:textId="77777777" w:rsidR="00716DE9" w:rsidRPr="00892DA0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892DA0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0D504D" w:rsidRPr="00892DA0" w14:paraId="10E27BD4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76DDB634" w14:textId="7250598C" w:rsidR="000D504D" w:rsidRPr="000D504D" w:rsidRDefault="000D504D" w:rsidP="000D504D">
            <w:pPr>
              <w:keepNext/>
              <w:spacing w:before="240" w:after="60" w:line="276" w:lineRule="auto"/>
              <w:outlineLvl w:val="3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Část </w:t>
            </w:r>
            <w:r w:rsidRPr="000D504D">
              <w:rPr>
                <w:rFonts w:eastAsia="Calibri"/>
                <w:b/>
                <w:bCs/>
              </w:rPr>
              <w:t>Rekonstrukce víceúčelového hřiště</w:t>
            </w:r>
          </w:p>
          <w:p w14:paraId="657DB829" w14:textId="51AC0450" w:rsidR="000D504D" w:rsidRPr="00892DA0" w:rsidRDefault="000D504D" w:rsidP="000D504D">
            <w:pPr>
              <w:keepNext/>
              <w:spacing w:before="240" w:after="60" w:line="276" w:lineRule="auto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Dle P</w:t>
            </w:r>
            <w:r w:rsidRPr="000D504D">
              <w:rPr>
                <w:bCs/>
              </w:rPr>
              <w:t>říloh</w:t>
            </w:r>
            <w:r>
              <w:rPr>
                <w:bCs/>
              </w:rPr>
              <w:t>y</w:t>
            </w:r>
            <w:r w:rsidRPr="000D504D">
              <w:rPr>
                <w:bCs/>
              </w:rPr>
              <w:t xml:space="preserve"> č. 2a SO-01 Rekonstrukce hřiště [zadání]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230EFBE6" w14:textId="16C0E8C7" w:rsidR="000D504D" w:rsidRPr="000D504D" w:rsidRDefault="000D504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bez DPH</w:t>
            </w:r>
          </w:p>
        </w:tc>
      </w:tr>
      <w:tr w:rsidR="000D504D" w:rsidRPr="00892DA0" w14:paraId="7E9F0D36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3CE29E44" w14:textId="724E8D6A" w:rsidR="000D504D" w:rsidRPr="000D504D" w:rsidRDefault="000D504D" w:rsidP="000D504D">
            <w:pPr>
              <w:keepNext/>
              <w:spacing w:before="240" w:after="60" w:line="276" w:lineRule="auto"/>
              <w:outlineLvl w:val="3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Část </w:t>
            </w:r>
            <w:r w:rsidRPr="000D504D">
              <w:rPr>
                <w:rFonts w:eastAsia="Calibri"/>
                <w:b/>
                <w:bCs/>
              </w:rPr>
              <w:t>Rekonstrukce opěrné stěny</w:t>
            </w:r>
          </w:p>
          <w:p w14:paraId="64F88934" w14:textId="1EAA327E" w:rsidR="000D504D" w:rsidRPr="00892DA0" w:rsidRDefault="000D504D" w:rsidP="000D504D">
            <w:pPr>
              <w:keepNext/>
              <w:spacing w:before="240" w:after="60" w:line="276" w:lineRule="auto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 xml:space="preserve">Dle </w:t>
            </w: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>Příloh</w:t>
            </w: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>y</w:t>
            </w: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 xml:space="preserve"> č. 2b SO-02 Opěrná stěna [zadání]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13101C30" w14:textId="77777777" w:rsidR="000D504D" w:rsidRPr="00892DA0" w:rsidRDefault="000D504D" w:rsidP="000D504D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2DB472A6" w14:textId="77777777" w:rsidR="000D504D" w:rsidRPr="00892DA0" w:rsidRDefault="000D504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D504D" w:rsidRPr="00892DA0" w14:paraId="5F60176C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6246BCB5" w14:textId="77777777" w:rsidR="000D504D" w:rsidRPr="000D504D" w:rsidRDefault="000D504D" w:rsidP="000D504D">
            <w:pPr>
              <w:keepNext/>
              <w:spacing w:before="240" w:after="60" w:line="276" w:lineRule="auto"/>
              <w:outlineLvl w:val="3"/>
              <w:rPr>
                <w:rFonts w:eastAsia="Calibri"/>
                <w:b/>
                <w:bCs/>
              </w:rPr>
            </w:pPr>
            <w:r w:rsidRPr="000D504D">
              <w:rPr>
                <w:rFonts w:eastAsia="Calibri"/>
                <w:b/>
                <w:bCs/>
              </w:rPr>
              <w:t xml:space="preserve">Část </w:t>
            </w:r>
            <w:r w:rsidRPr="000D504D">
              <w:rPr>
                <w:rFonts w:eastAsia="Calibri"/>
                <w:b/>
                <w:bCs/>
              </w:rPr>
              <w:t>Rekonstrukce o</w:t>
            </w:r>
            <w:r w:rsidRPr="000D504D">
              <w:rPr>
                <w:rFonts w:eastAsia="Calibri"/>
                <w:b/>
                <w:bCs/>
              </w:rPr>
              <w:t>světlení hřiště</w:t>
            </w:r>
          </w:p>
          <w:p w14:paraId="751E6E9D" w14:textId="32918359" w:rsidR="000D504D" w:rsidRPr="00892DA0" w:rsidRDefault="000D504D" w:rsidP="000D504D">
            <w:pPr>
              <w:keepNext/>
              <w:spacing w:before="240" w:after="60" w:line="276" w:lineRule="auto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 xml:space="preserve">Dle </w:t>
            </w: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>Příloh</w:t>
            </w: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>y</w:t>
            </w:r>
            <w:r w:rsidRPr="000D504D">
              <w:rPr>
                <w:rFonts w:ascii="Cambria" w:hAnsi="Cambria"/>
                <w:sz w:val="22"/>
                <w:szCs w:val="22"/>
                <w:lang w:eastAsia="en-US"/>
              </w:rPr>
              <w:t xml:space="preserve"> č. 2c IO-01 Osvětlení (zadání)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C1627EA" w14:textId="77777777" w:rsidR="000D504D" w:rsidRPr="00892DA0" w:rsidRDefault="000D504D" w:rsidP="000D504D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2B866F14" w14:textId="77777777" w:rsidR="000D504D" w:rsidRPr="00892DA0" w:rsidRDefault="000D504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16DE9" w:rsidRPr="00892DA0" w14:paraId="78C038B5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225D94F4" w14:textId="1368BF9B" w:rsidR="00716DE9" w:rsidRPr="00892DA0" w:rsidRDefault="000D504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Celková n</w:t>
            </w:r>
            <w:r w:rsidR="006724F8" w:rsidRPr="00892DA0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abídková cena v Kč bez DPH</w:t>
            </w:r>
          </w:p>
          <w:p w14:paraId="7B2821E3" w14:textId="77777777" w:rsidR="00716DE9" w:rsidRPr="00892DA0" w:rsidRDefault="00716DE9" w:rsidP="006724F8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892DA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892DA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</w:t>
            </w:r>
            <w:r w:rsidR="00D7168D" w:rsidRPr="00892DA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892DA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.</w:t>
            </w:r>
          </w:p>
          <w:p w14:paraId="4DA90C15" w14:textId="3F24854D" w:rsidR="002276A0" w:rsidRPr="00892DA0" w:rsidRDefault="00B5405F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Výše </w:t>
            </w:r>
            <w:r w:rsidR="002276A0"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DPH (sazba </w:t>
            </w:r>
            <w:r w:rsidR="00F46A9B"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21</w:t>
            </w:r>
            <w:r w:rsidR="002276A0"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69415CF7" w14:textId="77777777" w:rsidR="002276A0" w:rsidRPr="00892DA0" w:rsidRDefault="002276A0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14:paraId="0B9859AF" w14:textId="77777777" w:rsidR="00D7168D" w:rsidRPr="00892DA0" w:rsidRDefault="00D7168D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EB53BE7" w14:textId="77777777" w:rsidR="00716DE9" w:rsidRPr="00892DA0" w:rsidRDefault="009F344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9C80900" w14:textId="77777777" w:rsidR="00D7168D" w:rsidRPr="00892DA0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14:paraId="4A0E170C" w14:textId="77777777" w:rsidR="000D420A" w:rsidRPr="00892DA0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pPr>
          </w:p>
          <w:p w14:paraId="1996FD3B" w14:textId="77777777" w:rsidR="002276A0" w:rsidRPr="00892DA0" w:rsidRDefault="002276A0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507D7A0E" w14:textId="77777777" w:rsidR="00D7168D" w:rsidRPr="00892DA0" w:rsidRDefault="00D7168D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vč.</w:t>
            </w:r>
            <w:r w:rsidRPr="00892DA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14C7EDB" w14:textId="77777777" w:rsidR="00FD0495" w:rsidRPr="00892DA0" w:rsidRDefault="00FD0495">
      <w:pPr>
        <w:rPr>
          <w:rFonts w:ascii="Cambria" w:hAnsi="Cambria"/>
        </w:rPr>
      </w:pPr>
    </w:p>
    <w:p w14:paraId="6EAB37DA" w14:textId="77777777" w:rsidR="000171AE" w:rsidRPr="00892DA0" w:rsidRDefault="000171AE">
      <w:pPr>
        <w:rPr>
          <w:rFonts w:ascii="Cambria" w:eastAsia="Calibri" w:hAnsi="Cambria"/>
          <w:sz w:val="22"/>
          <w:szCs w:val="22"/>
          <w:lang w:eastAsia="en-US"/>
        </w:rPr>
      </w:pPr>
      <w:r w:rsidRPr="00892DA0">
        <w:rPr>
          <w:rFonts w:ascii="Cambria" w:hAnsi="Cambria"/>
          <w:sz w:val="22"/>
          <w:szCs w:val="22"/>
        </w:rPr>
        <w:t xml:space="preserve">V </w: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  <w:r w:rsidRPr="00892DA0">
        <w:rPr>
          <w:rFonts w:ascii="Cambria" w:eastAsia="Calibri" w:hAnsi="Cambria"/>
          <w:sz w:val="22"/>
          <w:szCs w:val="22"/>
          <w:lang w:eastAsia="en-US"/>
        </w:rPr>
        <w:t xml:space="preserve"> dne </w: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  <w:r w:rsidRPr="00892DA0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98A8B0D" w14:textId="77777777" w:rsidR="000171AE" w:rsidRPr="00892DA0" w:rsidRDefault="000171AE">
      <w:pPr>
        <w:rPr>
          <w:rFonts w:ascii="Cambria" w:eastAsia="Calibri" w:hAnsi="Cambria"/>
          <w:sz w:val="22"/>
          <w:szCs w:val="22"/>
          <w:lang w:eastAsia="en-US"/>
        </w:rPr>
      </w:pPr>
    </w:p>
    <w:p w14:paraId="13054379" w14:textId="77777777" w:rsidR="000171AE" w:rsidRPr="00892DA0" w:rsidRDefault="000171AE" w:rsidP="000171AE">
      <w:pPr>
        <w:jc w:val="right"/>
        <w:rPr>
          <w:rFonts w:ascii="Cambria" w:eastAsia="Calibri" w:hAnsi="Cambria"/>
          <w:sz w:val="22"/>
          <w:szCs w:val="22"/>
          <w:lang w:eastAsia="en-US"/>
        </w:rPr>
      </w:pPr>
      <w:r w:rsidRPr="00892DA0">
        <w:rPr>
          <w:rFonts w:ascii="Cambria" w:eastAsia="Calibri" w:hAnsi="Cambria"/>
          <w:sz w:val="22"/>
          <w:szCs w:val="22"/>
          <w:lang w:eastAsia="en-US"/>
        </w:rPr>
        <w:t>………………………………………………………………..</w:t>
      </w:r>
    </w:p>
    <w:p w14:paraId="4BFA32F3" w14:textId="77777777" w:rsidR="000171AE" w:rsidRPr="00892DA0" w:rsidRDefault="000171AE" w:rsidP="000171AE">
      <w:pPr>
        <w:rPr>
          <w:rFonts w:ascii="Cambria" w:eastAsia="Calibri" w:hAnsi="Cambria"/>
          <w:sz w:val="22"/>
          <w:szCs w:val="22"/>
          <w:lang w:eastAsia="en-US"/>
        </w:rPr>
      </w:pP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</w:p>
    <w:p w14:paraId="588184BE" w14:textId="77777777" w:rsidR="000171AE" w:rsidRPr="00892DA0" w:rsidRDefault="000171AE" w:rsidP="000171AE">
      <w:pPr>
        <w:rPr>
          <w:rFonts w:ascii="Cambria" w:hAnsi="Cambria"/>
          <w:sz w:val="22"/>
          <w:szCs w:val="22"/>
        </w:rPr>
      </w:pP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lang w:eastAsia="en-US"/>
        </w:rPr>
        <w:tab/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892DA0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</w:p>
    <w:sectPr w:rsidR="000171AE" w:rsidRPr="00892DA0" w:rsidSect="003E2020"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A466A" w14:textId="77777777" w:rsidR="00604507" w:rsidRDefault="00604507" w:rsidP="00C7767D">
      <w:r>
        <w:separator/>
      </w:r>
    </w:p>
  </w:endnote>
  <w:endnote w:type="continuationSeparator" w:id="0">
    <w:p w14:paraId="7DA84E02" w14:textId="77777777" w:rsidR="00604507" w:rsidRDefault="0060450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6DCE135" w14:textId="77777777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9F344B">
              <w:rPr>
                <w:b/>
              </w:rPr>
              <w:fldChar w:fldCharType="separate"/>
            </w:r>
            <w:r w:rsidR="000171AE">
              <w:rPr>
                <w:b/>
                <w:noProof/>
              </w:rPr>
              <w:t>2</w:t>
            </w:r>
            <w:r w:rsidR="009F344B">
              <w:rPr>
                <w:b/>
              </w:rPr>
              <w:fldChar w:fldCharType="end"/>
            </w:r>
            <w:r>
              <w:t xml:space="preserve"> z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9F344B">
              <w:rPr>
                <w:b/>
              </w:rPr>
              <w:fldChar w:fldCharType="separate"/>
            </w:r>
            <w:r w:rsidR="000171AE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</w:p>
        </w:sdtContent>
      </w:sdt>
    </w:sdtContent>
  </w:sdt>
  <w:p w14:paraId="62B85BA9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E5F83" w14:textId="77777777" w:rsidR="00604507" w:rsidRDefault="00604507" w:rsidP="00C7767D">
      <w:r>
        <w:separator/>
      </w:r>
    </w:p>
  </w:footnote>
  <w:footnote w:type="continuationSeparator" w:id="0">
    <w:p w14:paraId="3D7C6F7F" w14:textId="77777777" w:rsidR="00604507" w:rsidRDefault="0060450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D68E" w14:textId="1AB49E3D" w:rsidR="005631FF" w:rsidRDefault="005631FF" w:rsidP="003E202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 w16cid:durableId="957182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60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2CB7"/>
    <w:rsid w:val="000045D4"/>
    <w:rsid w:val="00007765"/>
    <w:rsid w:val="000171AE"/>
    <w:rsid w:val="00043747"/>
    <w:rsid w:val="00054CAF"/>
    <w:rsid w:val="000935E5"/>
    <w:rsid w:val="00095874"/>
    <w:rsid w:val="000B0B8E"/>
    <w:rsid w:val="000C23F6"/>
    <w:rsid w:val="000C31E4"/>
    <w:rsid w:val="000D420A"/>
    <w:rsid w:val="000D504D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10D8"/>
    <w:rsid w:val="002015DD"/>
    <w:rsid w:val="00222308"/>
    <w:rsid w:val="002276A0"/>
    <w:rsid w:val="00270B7E"/>
    <w:rsid w:val="00276411"/>
    <w:rsid w:val="002814C3"/>
    <w:rsid w:val="00282736"/>
    <w:rsid w:val="0029799D"/>
    <w:rsid w:val="002B7162"/>
    <w:rsid w:val="002B7324"/>
    <w:rsid w:val="002D02A3"/>
    <w:rsid w:val="002D3517"/>
    <w:rsid w:val="002D42C8"/>
    <w:rsid w:val="002D4B55"/>
    <w:rsid w:val="002E14C8"/>
    <w:rsid w:val="002E2476"/>
    <w:rsid w:val="00302CF8"/>
    <w:rsid w:val="00310E07"/>
    <w:rsid w:val="00323898"/>
    <w:rsid w:val="003332DF"/>
    <w:rsid w:val="00353D9B"/>
    <w:rsid w:val="00384C16"/>
    <w:rsid w:val="0039571A"/>
    <w:rsid w:val="003B4FCE"/>
    <w:rsid w:val="003D5A8A"/>
    <w:rsid w:val="003E2020"/>
    <w:rsid w:val="003F29ED"/>
    <w:rsid w:val="003F6FDB"/>
    <w:rsid w:val="0040045C"/>
    <w:rsid w:val="00426752"/>
    <w:rsid w:val="004322AF"/>
    <w:rsid w:val="004372CE"/>
    <w:rsid w:val="00440F16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55FD7"/>
    <w:rsid w:val="0066671B"/>
    <w:rsid w:val="006724F8"/>
    <w:rsid w:val="006A3454"/>
    <w:rsid w:val="006B5E1D"/>
    <w:rsid w:val="006F3511"/>
    <w:rsid w:val="00711A42"/>
    <w:rsid w:val="00716DE9"/>
    <w:rsid w:val="00724DF8"/>
    <w:rsid w:val="008179E0"/>
    <w:rsid w:val="008272C7"/>
    <w:rsid w:val="00892DA0"/>
    <w:rsid w:val="0089357E"/>
    <w:rsid w:val="008A2AF8"/>
    <w:rsid w:val="008B7F1D"/>
    <w:rsid w:val="00916A9A"/>
    <w:rsid w:val="0092188B"/>
    <w:rsid w:val="00922770"/>
    <w:rsid w:val="0092295C"/>
    <w:rsid w:val="009333C1"/>
    <w:rsid w:val="0093410F"/>
    <w:rsid w:val="00945B9F"/>
    <w:rsid w:val="009472EF"/>
    <w:rsid w:val="00965F66"/>
    <w:rsid w:val="00983365"/>
    <w:rsid w:val="009A41C0"/>
    <w:rsid w:val="009B37DB"/>
    <w:rsid w:val="009E2656"/>
    <w:rsid w:val="009F15D7"/>
    <w:rsid w:val="009F344B"/>
    <w:rsid w:val="009F3FAA"/>
    <w:rsid w:val="00A12C7B"/>
    <w:rsid w:val="00A5000D"/>
    <w:rsid w:val="00A6196D"/>
    <w:rsid w:val="00A81F60"/>
    <w:rsid w:val="00AA2CBF"/>
    <w:rsid w:val="00AC2247"/>
    <w:rsid w:val="00B0771E"/>
    <w:rsid w:val="00B228D4"/>
    <w:rsid w:val="00B25E55"/>
    <w:rsid w:val="00B2639E"/>
    <w:rsid w:val="00B354FD"/>
    <w:rsid w:val="00B43728"/>
    <w:rsid w:val="00B5405F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41074"/>
    <w:rsid w:val="00C5088D"/>
    <w:rsid w:val="00C53420"/>
    <w:rsid w:val="00C56D36"/>
    <w:rsid w:val="00C57C1F"/>
    <w:rsid w:val="00C61D69"/>
    <w:rsid w:val="00C7767D"/>
    <w:rsid w:val="00CA7C9A"/>
    <w:rsid w:val="00CB08CE"/>
    <w:rsid w:val="00CC03B3"/>
    <w:rsid w:val="00CC2149"/>
    <w:rsid w:val="00CD1740"/>
    <w:rsid w:val="00CD340C"/>
    <w:rsid w:val="00CE26C5"/>
    <w:rsid w:val="00D03041"/>
    <w:rsid w:val="00D21664"/>
    <w:rsid w:val="00D26D18"/>
    <w:rsid w:val="00D633C3"/>
    <w:rsid w:val="00D63EAB"/>
    <w:rsid w:val="00D7168D"/>
    <w:rsid w:val="00D75C59"/>
    <w:rsid w:val="00DB3163"/>
    <w:rsid w:val="00DB7367"/>
    <w:rsid w:val="00DC49FF"/>
    <w:rsid w:val="00DE78E3"/>
    <w:rsid w:val="00E0676D"/>
    <w:rsid w:val="00E12F83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7D70"/>
    <w:rsid w:val="00EE5A23"/>
    <w:rsid w:val="00EE63CC"/>
    <w:rsid w:val="00EE67B2"/>
    <w:rsid w:val="00F120C9"/>
    <w:rsid w:val="00F20682"/>
    <w:rsid w:val="00F2610D"/>
    <w:rsid w:val="00F46A9B"/>
    <w:rsid w:val="00F51B85"/>
    <w:rsid w:val="00F739EA"/>
    <w:rsid w:val="00F91071"/>
    <w:rsid w:val="00FA4434"/>
    <w:rsid w:val="00FC49B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D2B711"/>
  <w15:docId w15:val="{F400CBC6-B43E-4AA1-A6BD-3402C66F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F809E-3A49-4675-AB1D-7096B191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Websport</dc:creator>
  <cp:lastModifiedBy>Petr VOPAT</cp:lastModifiedBy>
  <cp:revision>9</cp:revision>
  <cp:lastPrinted>2020-09-11T06:34:00Z</cp:lastPrinted>
  <dcterms:created xsi:type="dcterms:W3CDTF">2023-04-23T18:26:00Z</dcterms:created>
  <dcterms:modified xsi:type="dcterms:W3CDTF">2025-05-20T11:54:00Z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